
<file path=[Content_Types].xml><?xml version="1.0" encoding="utf-8"?>
<Types xmlns="http://schemas.openxmlformats.org/package/2006/content-types">
  <Default Extension="xml" ContentType="application/xml"/>
  <Default Extension="rels" ContentType="application/vnd.openxmlformats-package.relationships+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officeDocument" Target="word/document.xml"/>
</Relationships>
</file>

<file path=word/document.xml><?xml version="1.0" encoding="utf-8"?>
<w:document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pPr>
        <w:pStyle w:val="Heading 1"/>
        <w:spacing w:before="200" w:after="320"/>
        <w:outlineLvl w:val="0"/>
      </w:pPr>
      <w:r>
        <w:t xml:space="preserve">SAHPA Memorandum of Incorporation</w:t>
      </w:r>
    </w:p>
    <w:tbl>
      <w:tblPr>
        <w:tblBorders>
          <w:top w:space="0" w:shadow="0" w:frame="0" w:val="single" w:color="000000" w:sz="8"/>
          <w:start w:val="nil"/>
          <w:bottom w:space="0" w:shadow="0" w:frame="0" w:val="single" w:color="000000" w:sz="8"/>
          <w:end w:val="nil"/>
          <w:insideV w:val="nil"/>
          <w:insideH w:space="0" w:shadow="0" w:frame="0" w:val="single" w:color="dddddd" w:sz="4"/>
        </w:tblBorders>
        <w:jc w:val="left"/>
        <w:tblLayout w:type="fixed"/>
      </w:tblPr>
      <w:tblGrid>
        <w:gridCol w:w="4240"/>
        <w:gridCol w:w="4240"/>
      </w:tblGrid>
      <w:tr>
        <w:tc>
          <w:tcPr>
            <w:tcMar>
              <w:top w:w="80" w:type="dxa"/>
              <w:bottom w:w="80" w:type="dxa"/>
              <w:start w:w="60" w:type="dxa"/>
              <w:end w:w="60" w:type="dxa"/>
            </w:tcMar>
          </w:tcPr>
          <w:p>
            <w:pPr>
              <w:pStyle w:val="Paragraph"/>
              <w:jc w:val="left"/>
              <w:spacing w:line="0" w:lineRule="atLeast"/>
            </w:pPr>
            <w:r>
              <w:t xml:space="preserve">Document Name</w:t>
            </w:r>
          </w:p>
        </w:tc>
        <w:tc>
          <w:tcPr>
            <w:tcMar>
              <w:top w:w="80" w:type="dxa"/>
              <w:bottom w:w="80" w:type="dxa"/>
              <w:start w:w="60" w:type="dxa"/>
              <w:end w:w="60" w:type="dxa"/>
            </w:tcMar>
          </w:tcPr>
          <w:p>
            <w:pPr>
              <w:pStyle w:val="Paragraph"/>
              <w:jc w:val="left"/>
              <w:spacing w:line="0" w:lineRule="atLeast"/>
            </w:pPr>
            <w:r>
              <w:t xml:space="preserve">SAHPA Memorandum of Incorporation</w:t>
            </w:r>
          </w:p>
        </w:tc>
      </w:tr>
      <w:tr>
        <w:tc>
          <w:tcPr>
            <w:tcMar>
              <w:top w:w="80" w:type="dxa"/>
              <w:bottom w:w="80" w:type="dxa"/>
              <w:start w:w="60" w:type="dxa"/>
              <w:end w:w="60" w:type="dxa"/>
            </w:tcMar>
          </w:tcPr>
          <w:p>
            <w:pPr>
              <w:pStyle w:val="Paragraph"/>
              <w:jc w:val="left"/>
              <w:spacing w:line="0" w:lineRule="atLeast"/>
            </w:pPr>
            <w:r>
              <w:t xml:space="preserve">Document Owner</w:t>
            </w:r>
          </w:p>
        </w:tc>
        <w:tc>
          <w:tcPr>
            <w:tcMar>
              <w:top w:w="80" w:type="dxa"/>
              <w:bottom w:w="80" w:type="dxa"/>
              <w:start w:w="60" w:type="dxa"/>
              <w:end w:w="60" w:type="dxa"/>
            </w:tcMar>
          </w:tcPr>
          <w:p>
            <w:pPr>
              <w:pStyle w:val="Paragraph"/>
              <w:jc w:val="left"/>
              <w:spacing w:line="0" w:lineRule="atLeast"/>
            </w:pPr>
            <w:r>
              <w:t xml:space="preserve">Accountable Manager</w:t>
            </w:r>
          </w:p>
        </w:tc>
      </w:tr>
      <w:tr>
        <w:tc>
          <w:tcPr>
            <w:tcMar>
              <w:top w:w="80" w:type="dxa"/>
              <w:bottom w:w="80" w:type="dxa"/>
              <w:start w:w="60" w:type="dxa"/>
              <w:end w:w="60" w:type="dxa"/>
            </w:tcMar>
          </w:tcPr>
          <w:p>
            <w:pPr>
              <w:pStyle w:val="Paragraph"/>
              <w:jc w:val="left"/>
              <w:spacing w:line="0" w:lineRule="atLeast"/>
            </w:pPr>
            <w:r>
              <w:t xml:space="preserve">Stakeholders consulted</w:t>
            </w:r>
          </w:p>
        </w:tc>
        <w:tc>
          <w:tcPr>
            <w:tcMar>
              <w:top w:w="80" w:type="dxa"/>
              <w:bottom w:w="80" w:type="dxa"/>
              <w:start w:w="60" w:type="dxa"/>
              <w:end w:w="60" w:type="dxa"/>
            </w:tcMar>
          </w:tcPr>
          <w:p>
            <w:pPr>
              <w:pStyle w:val="Paragraph"/>
              <w:jc w:val="left"/>
              <w:spacing w:line="0" w:lineRule="atLeast"/>
            </w:pPr>
            <w:r>
              <w:t xml:space="preserve">SAHPA Members</w:t>
            </w:r>
          </w:p>
        </w:tc>
      </w:tr>
      <w:tr>
        <w:tc>
          <w:tcPr>
            <w:tcMar>
              <w:top w:w="80" w:type="dxa"/>
              <w:bottom w:w="80" w:type="dxa"/>
              <w:start w:w="60" w:type="dxa"/>
              <w:end w:w="60" w:type="dxa"/>
            </w:tcMar>
          </w:tcPr>
          <w:p>
            <w:pPr>
              <w:pStyle w:val="Paragraph"/>
              <w:jc w:val="left"/>
              <w:spacing w:line="0" w:lineRule="atLeast"/>
            </w:pPr>
            <w:r>
              <w:t xml:space="preserve">Approval by </w:t>
            </w:r>
          </w:p>
        </w:tc>
        <w:tc>
          <w:tcPr>
            <w:tcMar>
              <w:top w:w="80" w:type="dxa"/>
              <w:bottom w:w="80" w:type="dxa"/>
              <w:start w:w="60" w:type="dxa"/>
              <w:end w:w="60" w:type="dxa"/>
            </w:tcMar>
          </w:tcPr>
          <w:p>
            <w:pPr>
              <w:pStyle w:val="Paragraph"/>
              <w:jc w:val="left"/>
              <w:spacing w:line="0" w:lineRule="atLeast"/>
            </w:pPr>
            <w:r>
              <w:t xml:space="preserve">SAHPA Members</w:t>
            </w:r>
          </w:p>
        </w:tc>
      </w:tr>
      <w:tr>
        <w:tc>
          <w:tcPr>
            <w:tcMar>
              <w:top w:w="80" w:type="dxa"/>
              <w:bottom w:w="80" w:type="dxa"/>
              <w:start w:w="60" w:type="dxa"/>
              <w:end w:w="60" w:type="dxa"/>
            </w:tcMar>
          </w:tcPr>
          <w:p>
            <w:pPr>
              <w:pStyle w:val="Paragraph"/>
              <w:jc w:val="left"/>
              <w:spacing w:line="0" w:lineRule="atLeast"/>
            </w:pPr>
            <w:r>
              <w:t xml:space="preserve">Approval Date</w:t>
            </w:r>
          </w:p>
        </w:tc>
        <w:tc>
          <w:tcPr>
            <w:tcMar>
              <w:top w:w="80" w:type="dxa"/>
              <w:bottom w:w="80" w:type="dxa"/>
              <w:start w:w="60" w:type="dxa"/>
              <w:end w:w="60" w:type="dxa"/>
            </w:tcMar>
          </w:tcPr>
          <w:p>
            <w:pPr>
              <w:pStyle w:val="Paragraph"/>
              <w:jc w:val="left"/>
              <w:spacing w:line="0" w:lineRule="atLeast"/>
            </w:pPr>
            <w:r>
              <w:t xml:space="preserve">TBA - Proposed 2026</w:t>
            </w:r>
          </w:p>
        </w:tc>
      </w:tr>
      <w:tr>
        <w:tc>
          <w:tcPr>
            <w:tcMar>
              <w:top w:w="80" w:type="dxa"/>
              <w:bottom w:w="80" w:type="dxa"/>
              <w:start w:w="60" w:type="dxa"/>
              <w:end w:w="60" w:type="dxa"/>
            </w:tcMar>
          </w:tcPr>
          <w:p>
            <w:pPr>
              <w:pStyle w:val="Paragraph"/>
              <w:jc w:val="left"/>
              <w:spacing w:line="0" w:lineRule="atLeast"/>
            </w:pPr>
            <w:r>
              <w:t xml:space="preserve">Effective Date</w:t>
            </w:r>
          </w:p>
        </w:tc>
        <w:tc>
          <w:tcPr>
            <w:tcMar>
              <w:top w:w="80" w:type="dxa"/>
              <w:bottom w:w="80" w:type="dxa"/>
              <w:start w:w="60" w:type="dxa"/>
              <w:end w:w="60" w:type="dxa"/>
            </w:tcMar>
          </w:tcPr>
          <w:p>
            <w:pPr>
              <w:pStyle w:val="Paragraph"/>
              <w:jc w:val="left"/>
              <w:spacing w:line="0" w:lineRule="atLeast"/>
            </w:pPr>
            <w:r>
              <w:t xml:space="preserve">TBA - Proposed 2026</w:t>
            </w:r>
          </w:p>
        </w:tc>
      </w:tr>
      <w:tr>
        <w:tc>
          <w:tcPr>
            <w:tcMar>
              <w:top w:w="80" w:type="dxa"/>
              <w:bottom w:w="80" w:type="dxa"/>
              <w:start w:w="60" w:type="dxa"/>
              <w:end w:w="60" w:type="dxa"/>
            </w:tcMar>
          </w:tcPr>
          <w:p>
            <w:pPr>
              <w:pStyle w:val="Paragraph"/>
              <w:jc w:val="left"/>
              <w:spacing w:line="0" w:lineRule="atLeast"/>
            </w:pPr>
            <w:r>
              <w:t xml:space="preserve">Previous Version</w:t>
            </w:r>
          </w:p>
        </w:tc>
        <w:tc>
          <w:tcPr>
            <w:tcMar>
              <w:top w:w="80" w:type="dxa"/>
              <w:bottom w:w="80" w:type="dxa"/>
              <w:start w:w="60" w:type="dxa"/>
              <w:end w:w="60" w:type="dxa"/>
            </w:tcMar>
          </w:tcPr>
          <w:p>
            <w:pPr>
              <w:jc w:val="left"/>
              <w:spacing w:line="0" w:lineRule="atLeast"/>
            </w:pPr>
            <w:r>
              <w:t xml:space="preserve"> </w:t>
            </w:r>
          </w:p>
        </w:tc>
      </w:tr>
      <w:tr>
        <w:tc>
          <w:tcPr>
            <w:tcMar>
              <w:top w:w="80" w:type="dxa"/>
              <w:bottom w:w="80" w:type="dxa"/>
              <w:start w:w="60" w:type="dxa"/>
              <w:end w:w="60" w:type="dxa"/>
            </w:tcMar>
          </w:tcPr>
          <w:p>
            <w:pPr>
              <w:pStyle w:val="Paragraph"/>
              <w:jc w:val="left"/>
              <w:spacing w:line="0" w:lineRule="atLeast"/>
            </w:pPr>
            <w:r>
              <w:t xml:space="preserve">Current Version</w:t>
            </w:r>
          </w:p>
        </w:tc>
        <w:tc>
          <w:tcPr>
            <w:tcMar>
              <w:top w:w="80" w:type="dxa"/>
              <w:bottom w:w="80" w:type="dxa"/>
              <w:start w:w="60" w:type="dxa"/>
              <w:end w:w="60" w:type="dxa"/>
            </w:tcMar>
          </w:tcPr>
          <w:p>
            <w:pPr>
              <w:pStyle w:val="Paragraph"/>
              <w:jc w:val="left"/>
              <w:spacing w:line="0" w:lineRule="atLeast"/>
            </w:pPr>
            <w:r>
              <w:t xml:space="preserve">0.4 FINAL DRAFT FOR REVIEW</w:t>
            </w:r>
          </w:p>
        </w:tc>
      </w:tr>
    </w:tbl>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1" w:type="default"/>
        </w:sectPr>
      </w:pPr>
    </w:p>
    <w:p>
      <w:pPr>
        <w:pStyle w:val="Heading 2"/>
        <w:spacing w:before="300" w:after="200"/>
        <w:outlineLvl w:val="1"/>
      </w:pPr>
      <w:r>
        <w:t xml:space="preserve">Document Control</w:t>
      </w:r>
    </w:p>
    <w:tbl>
      <w:tblPr>
        <w:tblBorders>
          <w:top w:space="0" w:shadow="0" w:frame="0" w:val="single" w:color="000000" w:sz="8"/>
          <w:start w:val="nil"/>
          <w:bottom w:space="0" w:shadow="0" w:frame="0" w:val="single" w:color="000000" w:sz="8"/>
          <w:end w:val="nil"/>
          <w:insideV w:val="nil"/>
          <w:insideH w:space="0" w:shadow="0" w:frame="0" w:val="single" w:color="dddddd" w:sz="4"/>
        </w:tblBorders>
        <w:jc w:val="left"/>
        <w:tblLayout w:type="fixed"/>
      </w:tblPr>
      <w:tblGrid>
        <w:gridCol w:w="2960"/>
        <w:gridCol w:w="1920"/>
        <w:gridCol w:w="1800"/>
        <w:gridCol w:w="1800"/>
      </w:tblGrid>
      <w:tr>
        <w:tc>
          <w:tcPr>
            <w:tcMar>
              <w:top w:w="80" w:type="dxa"/>
              <w:bottom w:w="80" w:type="dxa"/>
              <w:start w:w="60" w:type="dxa"/>
              <w:end w:w="60" w:type="dxa"/>
            </w:tcMar>
            <w:tcBorders>
              <w:bottom w:space="0" w:shadow="0" w:frame="0" w:val="single" w:color="000000" w:sz="8"/>
            </w:tcBorders>
          </w:tcPr>
          <w:p>
            <w:pPr>
              <w:pStyle w:val="Paragraph"/>
              <w:jc w:val="left"/>
              <w:spacing w:line="0" w:lineRule="atLeast"/>
            </w:pPr>
            <w:r>
              <w:rPr>
                <w:rFonts w:ascii="Avenir Next Regular" w:cs="Avenir Next Regular" w:eastAsia="Avenir Next Regular" w:hAnsi="Avenir Next Regular"/>
                <w:b/>
              </w:rPr>
              <w:t xml:space="preserve">Description</w:t>
            </w:r>
          </w:p>
        </w:tc>
        <w:tc>
          <w:tcPr>
            <w:tcMar>
              <w:top w:w="80" w:type="dxa"/>
              <w:bottom w:w="80" w:type="dxa"/>
              <w:start w:w="60" w:type="dxa"/>
              <w:end w:w="60" w:type="dxa"/>
            </w:tcMar>
            <w:tcBorders>
              <w:bottom w:space="0" w:shadow="0" w:frame="0" w:val="single" w:color="000000" w:sz="8"/>
            </w:tcBorders>
          </w:tcPr>
          <w:p>
            <w:pPr>
              <w:pStyle w:val="Paragraph"/>
              <w:jc w:val="left"/>
              <w:spacing w:line="0" w:lineRule="atLeast"/>
            </w:pPr>
            <w:r>
              <w:rPr>
                <w:rFonts w:ascii="Avenir Next Regular" w:cs="Avenir Next Regular" w:eastAsia="Avenir Next Regular" w:hAnsi="Avenir Next Regular"/>
                <w:b/>
              </w:rPr>
              <w:t xml:space="preserve">Date</w:t>
            </w:r>
          </w:p>
        </w:tc>
        <w:tc>
          <w:tcPr>
            <w:tcMar>
              <w:top w:w="80" w:type="dxa"/>
              <w:bottom w:w="80" w:type="dxa"/>
              <w:start w:w="60" w:type="dxa"/>
              <w:end w:w="60" w:type="dxa"/>
            </w:tcMar>
            <w:tcBorders>
              <w:bottom w:space="0" w:shadow="0" w:frame="0" w:val="single" w:color="000000" w:sz="8"/>
            </w:tcBorders>
          </w:tcPr>
          <w:p>
            <w:pPr>
              <w:pStyle w:val="Paragraph"/>
              <w:jc w:val="left"/>
              <w:spacing w:line="0" w:lineRule="atLeast"/>
            </w:pPr>
            <w:r>
              <w:rPr>
                <w:rFonts w:ascii="Avenir Next Regular" w:cs="Avenir Next Regular" w:eastAsia="Avenir Next Regular" w:hAnsi="Avenir Next Regular"/>
                <w:b/>
              </w:rPr>
              <w:t xml:space="preserve">Author</w:t>
            </w:r>
          </w:p>
        </w:tc>
        <w:tc>
          <w:tcPr>
            <w:tcMar>
              <w:top w:w="80" w:type="dxa"/>
              <w:bottom w:w="80" w:type="dxa"/>
              <w:start w:w="60" w:type="dxa"/>
              <w:end w:w="60" w:type="dxa"/>
            </w:tcMar>
            <w:tcBorders>
              <w:bottom w:space="0" w:shadow="0" w:frame="0" w:val="single" w:color="000000" w:sz="8"/>
            </w:tcBorders>
          </w:tcPr>
          <w:p>
            <w:pPr>
              <w:pStyle w:val="Paragraph"/>
              <w:jc w:val="left"/>
              <w:spacing w:line="0" w:lineRule="atLeast"/>
            </w:pPr>
            <w:r>
              <w:rPr>
                <w:rFonts w:ascii="Avenir Next Regular" w:cs="Avenir Next Regular" w:eastAsia="Avenir Next Regular" w:hAnsi="Avenir Next Regular"/>
                <w:b/>
              </w:rPr>
              <w:t xml:space="preserve">Version</w:t>
            </w:r>
          </w:p>
        </w:tc>
      </w:tr>
      <w:tr>
        <w:tc>
          <w:tcPr>
            <w:tcMar>
              <w:top w:w="80" w:type="dxa"/>
              <w:bottom w:w="80" w:type="dxa"/>
              <w:start w:w="60" w:type="dxa"/>
              <w:end w:w="60" w:type="dxa"/>
            </w:tcMar>
          </w:tcPr>
          <w:p>
            <w:pPr>
              <w:pStyle w:val="Paragraph"/>
              <w:jc w:val="left"/>
              <w:spacing w:line="0" w:lineRule="atLeast"/>
            </w:pPr>
            <w:r>
              <w:t xml:space="preserve">Document created</w:t>
            </w:r>
          </w:p>
        </w:tc>
        <w:tc>
          <w:tcPr>
            <w:tcMar>
              <w:top w:w="80" w:type="dxa"/>
              <w:bottom w:w="80" w:type="dxa"/>
              <w:start w:w="60" w:type="dxa"/>
              <w:end w:w="60" w:type="dxa"/>
            </w:tcMar>
          </w:tcPr>
          <w:p>
            <w:pPr>
              <w:pStyle w:val="Paragraph"/>
              <w:jc w:val="left"/>
              <w:spacing w:line="0" w:lineRule="atLeast"/>
            </w:pPr>
            <w:r>
              <w:t xml:space="preserve">31 December 2025</w:t>
            </w:r>
          </w:p>
        </w:tc>
        <w:tc>
          <w:tcPr>
            <w:tcMar>
              <w:top w:w="80" w:type="dxa"/>
              <w:bottom w:w="80" w:type="dxa"/>
              <w:start w:w="60" w:type="dxa"/>
              <w:end w:w="60" w:type="dxa"/>
            </w:tcMar>
          </w:tcPr>
          <w:p>
            <w:pPr>
              <w:pStyle w:val="Paragraph"/>
              <w:jc w:val="left"/>
              <w:spacing w:line="0" w:lineRule="atLeast"/>
            </w:pPr>
            <w:r>
              <w:t xml:space="preserve">Louis Stanford</w:t>
            </w:r>
          </w:p>
        </w:tc>
        <w:tc>
          <w:tcPr>
            <w:tcMar>
              <w:top w:w="80" w:type="dxa"/>
              <w:bottom w:w="80" w:type="dxa"/>
              <w:start w:w="60" w:type="dxa"/>
              <w:end w:w="60" w:type="dxa"/>
            </w:tcMar>
          </w:tcPr>
          <w:p>
            <w:pPr>
              <w:pStyle w:val="Paragraph"/>
              <w:jc w:val="left"/>
              <w:spacing w:line="0" w:lineRule="atLeast"/>
            </w:pPr>
            <w:r>
              <w:t xml:space="preserve">0.1</w:t>
            </w:r>
          </w:p>
        </w:tc>
      </w:tr>
      <w:tr>
        <w:tc>
          <w:tcPr>
            <w:tcMar>
              <w:top w:w="80" w:type="dxa"/>
              <w:bottom w:w="80" w:type="dxa"/>
              <w:start w:w="60" w:type="dxa"/>
              <w:end w:w="60" w:type="dxa"/>
            </w:tcMar>
          </w:tcPr>
          <w:p>
            <w:pPr>
              <w:pStyle w:val="Paragraph"/>
              <w:jc w:val="left"/>
              <w:spacing w:line="0" w:lineRule="atLeast"/>
            </w:pPr>
            <w:r>
              <w:t xml:space="preserve">First DRAFT for Internal Review</w:t>
            </w:r>
          </w:p>
        </w:tc>
        <w:tc>
          <w:tcPr>
            <w:tcMar>
              <w:top w:w="80" w:type="dxa"/>
              <w:bottom w:w="80" w:type="dxa"/>
              <w:start w:w="60" w:type="dxa"/>
              <w:end w:w="60" w:type="dxa"/>
            </w:tcMar>
          </w:tcPr>
          <w:p>
            <w:pPr>
              <w:pStyle w:val="Paragraph"/>
              <w:jc w:val="left"/>
              <w:spacing w:line="0" w:lineRule="atLeast"/>
            </w:pPr>
            <w:r>
              <w:t xml:space="preserve">02 January 2026</w:t>
            </w:r>
          </w:p>
        </w:tc>
        <w:tc>
          <w:tcPr>
            <w:tcMar>
              <w:top w:w="80" w:type="dxa"/>
              <w:bottom w:w="80" w:type="dxa"/>
              <w:start w:w="60" w:type="dxa"/>
              <w:end w:w="60" w:type="dxa"/>
            </w:tcMar>
          </w:tcPr>
          <w:p>
            <w:pPr>
              <w:pStyle w:val="Paragraph"/>
              <w:jc w:val="left"/>
              <w:spacing w:line="0" w:lineRule="atLeast"/>
            </w:pPr>
            <w:r>
              <w:t xml:space="preserve">Louis Stanford</w:t>
            </w:r>
          </w:p>
        </w:tc>
        <w:tc>
          <w:tcPr>
            <w:tcMar>
              <w:top w:w="80" w:type="dxa"/>
              <w:bottom w:w="80" w:type="dxa"/>
              <w:start w:w="60" w:type="dxa"/>
              <w:end w:w="60" w:type="dxa"/>
            </w:tcMar>
          </w:tcPr>
          <w:p>
            <w:pPr>
              <w:pStyle w:val="Paragraph"/>
              <w:jc w:val="left"/>
              <w:spacing w:line="0" w:lineRule="atLeast"/>
            </w:pPr>
            <w:r>
              <w:t xml:space="preserve">0.2</w:t>
            </w:r>
          </w:p>
        </w:tc>
      </w:tr>
      <w:tr>
        <w:tc>
          <w:tcPr>
            <w:tcMar>
              <w:top w:w="80" w:type="dxa"/>
              <w:bottom w:w="80" w:type="dxa"/>
              <w:start w:w="60" w:type="dxa"/>
              <w:end w:w="60" w:type="dxa"/>
            </w:tcMar>
          </w:tcPr>
          <w:p>
            <w:pPr>
              <w:pStyle w:val="Paragraph"/>
              <w:jc w:val="left"/>
              <w:spacing w:line="0" w:lineRule="atLeast"/>
            </w:pPr>
            <w:r>
              <w:t xml:space="preserve">FINAL DRAFT for Review</w:t>
            </w:r>
          </w:p>
        </w:tc>
        <w:tc>
          <w:tcPr>
            <w:tcMar>
              <w:top w:w="80" w:type="dxa"/>
              <w:bottom w:w="80" w:type="dxa"/>
              <w:start w:w="60" w:type="dxa"/>
              <w:end w:w="60" w:type="dxa"/>
            </w:tcMar>
          </w:tcPr>
          <w:p>
            <w:pPr>
              <w:pStyle w:val="Paragraph"/>
              <w:jc w:val="left"/>
              <w:spacing w:line="0" w:lineRule="atLeast"/>
            </w:pPr>
            <w:r>
              <w:t xml:space="preserve">06 January 2026</w:t>
            </w:r>
          </w:p>
        </w:tc>
        <w:tc>
          <w:tcPr>
            <w:tcMar>
              <w:top w:w="80" w:type="dxa"/>
              <w:bottom w:w="80" w:type="dxa"/>
              <w:start w:w="60" w:type="dxa"/>
              <w:end w:w="60" w:type="dxa"/>
            </w:tcMar>
          </w:tcPr>
          <w:p>
            <w:pPr>
              <w:pStyle w:val="Paragraph"/>
              <w:jc w:val="left"/>
              <w:spacing w:line="0" w:lineRule="atLeast"/>
            </w:pPr>
            <w:r>
              <w:t xml:space="preserve">Louis Stanford</w:t>
            </w:r>
          </w:p>
        </w:tc>
        <w:tc>
          <w:tcPr>
            <w:tcMar>
              <w:top w:w="80" w:type="dxa"/>
              <w:bottom w:w="80" w:type="dxa"/>
              <w:start w:w="60" w:type="dxa"/>
              <w:end w:w="60" w:type="dxa"/>
            </w:tcMar>
          </w:tcPr>
          <w:p>
            <w:pPr>
              <w:pStyle w:val="Paragraph"/>
              <w:jc w:val="left"/>
              <w:spacing w:line="0" w:lineRule="atLeast"/>
            </w:pPr>
            <w:r>
              <w:t xml:space="preserve">0.3</w:t>
            </w:r>
          </w:p>
        </w:tc>
      </w:tr>
      <w:tr>
        <w:tc>
          <w:tcPr>
            <w:tcMar>
              <w:top w:w="80" w:type="dxa"/>
              <w:bottom w:w="80" w:type="dxa"/>
              <w:start w:w="60" w:type="dxa"/>
              <w:end w:w="60" w:type="dxa"/>
            </w:tcMar>
          </w:tcPr>
          <w:p>
            <w:pPr>
              <w:pStyle w:val="Paragraph"/>
              <w:jc w:val="left"/>
              <w:spacing w:line="0" w:lineRule="atLeast"/>
            </w:pPr>
            <w:r>
              <w:t xml:space="preserve">Amendments:</w:t>
            </w:r>
            <w:r>
              <w:br w:type="textWrapping"/>
            </w:r>
            <w:r>
              <w:t xml:space="preserve">- Inserted Section 7 (new)</w:t>
            </w:r>
            <w:r>
              <w:br w:type="textWrapping"/>
            </w:r>
            <w:r>
              <w:t xml:space="preserve">- Inserted Section 14 (new)</w:t>
            </w:r>
            <w:r>
              <w:br w:type="textWrapping"/>
            </w:r>
            <w:r>
              <w:t xml:space="preserve">- Inserted Appendix A (new)</w:t>
            </w:r>
          </w:p>
        </w:tc>
        <w:tc>
          <w:tcPr>
            <w:tcMar>
              <w:top w:w="80" w:type="dxa"/>
              <w:bottom w:w="80" w:type="dxa"/>
              <w:start w:w="60" w:type="dxa"/>
              <w:end w:w="60" w:type="dxa"/>
            </w:tcMar>
          </w:tcPr>
          <w:p>
            <w:pPr>
              <w:pStyle w:val="Paragraph"/>
              <w:jc w:val="left"/>
              <w:spacing w:line="0" w:lineRule="atLeast"/>
            </w:pPr>
            <w:r>
              <w:t xml:space="preserve">11 January 2026</w:t>
            </w:r>
          </w:p>
        </w:tc>
        <w:tc>
          <w:tcPr>
            <w:tcMar>
              <w:top w:w="80" w:type="dxa"/>
              <w:bottom w:w="80" w:type="dxa"/>
              <w:start w:w="60" w:type="dxa"/>
              <w:end w:w="60" w:type="dxa"/>
            </w:tcMar>
          </w:tcPr>
          <w:p>
            <w:pPr>
              <w:pStyle w:val="Paragraph"/>
              <w:jc w:val="left"/>
              <w:spacing w:line="0" w:lineRule="atLeast"/>
            </w:pPr>
            <w:r>
              <w:t xml:space="preserve">Louis Stanford</w:t>
            </w:r>
          </w:p>
        </w:tc>
        <w:tc>
          <w:tcPr>
            <w:tcMar>
              <w:top w:w="80" w:type="dxa"/>
              <w:bottom w:w="80" w:type="dxa"/>
              <w:start w:w="60" w:type="dxa"/>
              <w:end w:w="60" w:type="dxa"/>
            </w:tcMar>
          </w:tcPr>
          <w:p>
            <w:pPr>
              <w:pStyle w:val="Paragraph"/>
              <w:jc w:val="left"/>
              <w:spacing w:line="0" w:lineRule="atLeast"/>
            </w:pPr>
            <w:r>
              <w:t xml:space="preserve">0.4</w:t>
            </w:r>
          </w:p>
        </w:tc>
      </w:tr>
    </w:tbl>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2" w:type="default"/>
        </w:sectPr>
      </w:pPr>
    </w:p>
    <w:p>
      <w:pPr>
        <w:pStyle w:val="Heading 1"/>
        <w:spacing w:before="200" w:after="320"/>
        <w:outlineLvl w:val="0"/>
      </w:pPr>
      <w:r>
        <w:t xml:space="preserve">MEMORANDUM OF INCORPORATION of THE SOUTH AFRICAN HANG GLIDING AND PARAGLIDING ASSOCIATION NPC</w:t>
      </w:r>
    </w:p>
    <w:p>
      <w:pPr>
        <w:pStyle w:val="Paragraph"/>
        <w:ind w:start="240"/>
        <w:spacing w:before="120" w:after="60"/>
      </w:pPr>
      <w:r>
        <w:t xml:space="preserve">(Registration number: 2005/028858/08)</w:t>
      </w:r>
    </w:p>
    <w:p>
      <w:pPr>
        <w:pStyle w:val="Heading 3"/>
        <w:spacing w:before="300" w:after="100"/>
        <w:outlineLvl w:val="2"/>
      </w:pPr>
      <w:r>
        <w:t xml:space="preserve">1. NAME AND STATUS</w:t>
      </w:r>
    </w:p>
    <w:p>
      <w:pPr>
        <w:pStyle w:val="Paragraph"/>
        <w:ind w:start="240"/>
        <w:spacing w:before="120" w:after="60"/>
      </w:pPr>
      <w:r>
        <w:t xml:space="preserve">1.1 The name of the Company is The South African Hang Gliding and Paragliding Association NPC.</w:t>
      </w:r>
    </w:p>
    <w:p>
      <w:pPr>
        <w:pStyle w:val="Paragraph"/>
        <w:ind w:start="240"/>
        <w:spacing w:before="120" w:after="60"/>
      </w:pPr>
      <w:r>
        <w:t xml:space="preserve">1.2 The abbreviated name of the Company is SAHPA.</w:t>
      </w:r>
    </w:p>
    <w:p>
      <w:pPr>
        <w:pStyle w:val="Paragraph"/>
        <w:ind w:start="240"/>
        <w:spacing w:before="120" w:after="60"/>
      </w:pPr>
      <w:r>
        <w:t xml:space="preserve">1.3 The Company is a non-profit company as contemplated in the Companies Act, 2008.</w:t>
      </w:r>
    </w:p>
    <w:p>
      <w:pPr>
        <w:pStyle w:val="Heading 3"/>
        <w:spacing w:before="300" w:after="100"/>
        <w:outlineLvl w:val="2"/>
      </w:pPr>
      <w:r>
        <w:t xml:space="preserve">2. NON-PROFIT AND NO-MEMBERSHIP STATUS</w:t>
      </w:r>
    </w:p>
    <w:p>
      <w:pPr>
        <w:pStyle w:val="Paragraph"/>
        <w:ind w:start="240"/>
        <w:spacing w:before="120" w:after="60"/>
      </w:pPr>
      <w:r>
        <w:t xml:space="preserve">2.1 The Company has no members as contemplated in Schedule 1 to the Companies Act.</w:t>
      </w:r>
    </w:p>
    <w:p>
      <w:pPr>
        <w:pStyle w:val="Paragraph"/>
        <w:ind w:start="240"/>
        <w:spacing w:before="120" w:after="60"/>
      </w:pPr>
      <w:r>
        <w:t xml:space="preserve">2.2 Any reference to “members” in subordinate governance instruments refers to persons recognised by SAHPA for purposes of participation in SAHPA-governed recreational aviation activities and does not create membership rights in terms of company law.</w:t>
      </w:r>
    </w:p>
    <w:p>
      <w:pPr>
        <w:pStyle w:val="Heading 3"/>
        <w:spacing w:before="300" w:after="100"/>
        <w:outlineLvl w:val="2"/>
      </w:pPr>
      <w:r>
        <w:t xml:space="preserve">3. OBJECTS OF THE COMPANY</w:t>
      </w:r>
    </w:p>
    <w:p>
      <w:pPr>
        <w:pStyle w:val="Heading 4"/>
        <w:spacing w:before="300" w:after="100"/>
        <w:outlineLvl w:val="3"/>
      </w:pPr>
      <w:r>
        <w:t xml:space="preserve">3.1 Principal Object</w:t>
      </w:r>
    </w:p>
    <w:p>
      <w:pPr>
        <w:pStyle w:val="Paragraph"/>
        <w:ind w:start="240"/>
        <w:spacing w:before="120" w:after="60"/>
      </w:pPr>
      <w:r>
        <w:t xml:space="preserve">The principal object of the Company is to act as a national coordinating and governance body for recreational hang gliding, paragliding, powered hang gliding and powered parachuting activities in the Republic of South Africa, in a manner that promotes aviation safety, lawful conduct, and the public interest.</w:t>
      </w:r>
    </w:p>
    <w:p>
      <w:pPr>
        <w:pStyle w:val="Heading 4"/>
        <w:spacing w:before="300" w:after="100"/>
        <w:outlineLvl w:val="3"/>
      </w:pPr>
      <w:r>
        <w:t xml:space="preserve">3.2 Regulatory Position and Authority</w:t>
      </w:r>
    </w:p>
    <w:p>
      <w:pPr>
        <w:pStyle w:val="Paragraph"/>
        <w:ind w:start="240"/>
        <w:spacing w:before="120" w:after="60"/>
      </w:pPr>
      <w:r>
        <w:t xml:space="preserve">3.2.1 The Company is approved by the South African Civil Aviation Authority in terms of Part 149 of the Civil Aviation Regulations to oversee the operations of persons who participate in SAHPA-recognised recreational aviation activities, subject to the conditions of that approval.</w:t>
      </w:r>
    </w:p>
    <w:p>
      <w:pPr>
        <w:pStyle w:val="Paragraph"/>
        <w:ind w:start="240"/>
        <w:spacing w:before="120" w:after="60"/>
      </w:pPr>
      <w:r>
        <w:t xml:space="preserve">3.2.2 The Company does not exercise delegated regulatory authority, does not act as a regulator, and does not assume responsibility for functions reserved to the Civil Aviation Authority or any other organ of state.</w:t>
      </w:r>
    </w:p>
    <w:p>
      <w:pPr>
        <w:pStyle w:val="Paragraph"/>
        <w:ind w:start="240"/>
        <w:spacing w:before="120" w:after="60"/>
      </w:pPr>
      <w:r>
        <w:t xml:space="preserve">3.2.3 The Company’s oversight role is limited to:</w:t>
      </w:r>
    </w:p>
    <w:p>
      <w:pPr>
        <w:pStyle w:val="Dashed List"/>
        <w:numPr>
          <w:ilvl w:val="0"/>
          <w:numId w:val="1"/>
        </w:numPr>
        <w:spacing w:before="20" w:after="12"/>
      </w:pPr>
      <w:r>
        <w:t xml:space="preserve">establishing governance frameworks applicable to its recognised activities;</w:t>
      </w:r>
    </w:p>
    <w:p>
      <w:pPr>
        <w:pStyle w:val="Dashed List"/>
        <w:numPr>
          <w:ilvl w:val="0"/>
          <w:numId w:val="1"/>
        </w:numPr>
        <w:spacing w:after="12"/>
      </w:pPr>
      <w:r>
        <w:t xml:space="preserve">overseeing compliance by its recognised participants with applicable rules and standards;</w:t>
      </w:r>
    </w:p>
    <w:p>
      <w:pPr>
        <w:pStyle w:val="Dashed List"/>
        <w:numPr>
          <w:ilvl w:val="0"/>
          <w:numId w:val="1"/>
        </w:numPr>
        <w:spacing w:after="12"/>
      </w:pPr>
      <w:r>
        <w:t xml:space="preserve">promoting aviation safety and responsible conduct; and</w:t>
      </w:r>
    </w:p>
    <w:p>
      <w:pPr>
        <w:pStyle w:val="Dashed List"/>
        <w:numPr>
          <w:ilvl w:val="0"/>
          <w:numId w:val="1"/>
        </w:numPr>
        <w:spacing w:after="100"/>
      </w:pPr>
      <w:r>
        <w:t xml:space="preserve">reporting material non-compliance or safety concerns to the competent authority.</w:t>
      </w:r>
    </w:p>
    <w:p>
      <w:pPr>
        <w:pStyle w:val="Heading 4"/>
        <w:spacing w:before="300" w:after="100"/>
        <w:outlineLvl w:val="3"/>
      </w:pPr>
      <w:r>
        <w:t xml:space="preserve">3.3 Training and Instruction</w:t>
      </w:r>
    </w:p>
    <w:p>
      <w:pPr>
        <w:pStyle w:val="Paragraph"/>
        <w:ind w:start="240"/>
        <w:spacing w:before="120" w:after="60"/>
      </w:pPr>
      <w:r>
        <w:t xml:space="preserve">3.3.1 The Company does not operate as an approved training organisation and does not regulate or supervise aviation training activities.</w:t>
      </w:r>
    </w:p>
    <w:p>
      <w:pPr>
        <w:pStyle w:val="Paragraph"/>
        <w:ind w:start="240"/>
        <w:spacing w:before="120" w:after="60"/>
      </w:pPr>
      <w:r>
        <w:t xml:space="preserve">3.3.2 Responsibility for compliance by training organisations, declared training organisations, instructors, and examiners rests with those entities and persons and with the Civil Aviation Authority.</w:t>
      </w:r>
    </w:p>
    <w:p>
      <w:pPr>
        <w:pStyle w:val="Paragraph"/>
        <w:ind w:start="240"/>
        <w:spacing w:before="120" w:after="60"/>
      </w:pPr>
      <w:r>
        <w:t xml:space="preserve">3.3.3 Any standards, guidance, or requirements published by the Company relating to training or instruction are governance or safety-related and do not constitute regulatory approval or certification.</w:t>
      </w:r>
    </w:p>
    <w:p>
      <w:pPr>
        <w:pStyle w:val="Heading 4"/>
        <w:spacing w:before="300" w:after="100"/>
        <w:outlineLvl w:val="3"/>
      </w:pPr>
      <w:r>
        <w:t xml:space="preserve">3.4 Secondary Objects</w:t>
      </w:r>
    </w:p>
    <w:p>
      <w:pPr>
        <w:pStyle w:val="Paragraph"/>
        <w:ind w:start="240"/>
        <w:spacing w:before="120" w:after="60"/>
      </w:pPr>
      <w:r>
        <w:t xml:space="preserve">The Company may engage in activities incidental or ancillary to its principal object, including commercial activities, provided that:</w:t>
      </w:r>
    </w:p>
    <w:p>
      <w:pPr>
        <w:pStyle w:val="Dashed List"/>
        <w:numPr>
          <w:ilvl w:val="0"/>
          <w:numId w:val="2"/>
        </w:numPr>
        <w:spacing w:before="20" w:after="12"/>
      </w:pPr>
      <w:r>
        <w:t xml:space="preserve">such activities do not supersede the principal object; and</w:t>
      </w:r>
    </w:p>
    <w:p>
      <w:pPr>
        <w:pStyle w:val="Dashed List"/>
        <w:numPr>
          <w:ilvl w:val="0"/>
          <w:numId w:val="2"/>
        </w:numPr>
        <w:spacing w:after="100"/>
      </w:pPr>
      <w:r>
        <w:t xml:space="preserve">all net proceeds are applied solely to advancing the principal object.</w:t>
      </w:r>
    </w:p>
    <w:p>
      <w:pPr>
        <w:pStyle w:val="Heading 3"/>
        <w:spacing w:before="300" w:after="100"/>
        <w:outlineLvl w:val="2"/>
      </w:pPr>
      <w:r>
        <w:t xml:space="preserve">4. LIMITATION ON DISTRIBUTIONS</w:t>
      </w:r>
    </w:p>
    <w:p>
      <w:pPr>
        <w:pStyle w:val="Paragraph"/>
        <w:ind w:start="240"/>
        <w:spacing w:before="120" w:after="60"/>
      </w:pPr>
      <w:r>
        <w:t xml:space="preserve">4.1 The Company shall not distribute any income or assets to directors, officers, or related persons except as permitted by law and as reasonable remuneration or reimbursement.</w:t>
      </w:r>
    </w:p>
    <w:p>
      <w:pPr>
        <w:pStyle w:val="Heading 3"/>
        <w:spacing w:before="300" w:after="100"/>
        <w:outlineLvl w:val="2"/>
      </w:pPr>
      <w:r>
        <w:t xml:space="preserve">5. POWERS OF THE COMPANY</w:t>
      </w:r>
    </w:p>
    <w:p>
      <w:pPr>
        <w:pStyle w:val="Paragraph"/>
        <w:ind w:start="240"/>
        <w:spacing w:before="120" w:after="60"/>
      </w:pPr>
      <w:r>
        <w:t xml:space="preserve">5.1 The Company has all legal powers of a juristic person, subject to:</w:t>
      </w:r>
    </w:p>
    <w:p>
      <w:pPr>
        <w:pStyle w:val="Dashed List"/>
        <w:numPr>
          <w:ilvl w:val="0"/>
          <w:numId w:val="3"/>
        </w:numPr>
        <w:spacing w:before="20" w:after="12"/>
      </w:pPr>
      <w:r>
        <w:t xml:space="preserve">the Companies Act;</w:t>
      </w:r>
    </w:p>
    <w:p>
      <w:pPr>
        <w:pStyle w:val="Dashed List"/>
        <w:numPr>
          <w:ilvl w:val="0"/>
          <w:numId w:val="3"/>
        </w:numPr>
        <w:spacing w:after="12"/>
      </w:pPr>
      <w:r>
        <w:t xml:space="preserve">this Memorandum of Incorporation; and</w:t>
      </w:r>
    </w:p>
    <w:p>
      <w:pPr>
        <w:pStyle w:val="Dashed List"/>
        <w:numPr>
          <w:ilvl w:val="0"/>
          <w:numId w:val="3"/>
        </w:numPr>
        <w:spacing w:after="100"/>
      </w:pPr>
      <w:r>
        <w:t xml:space="preserve">the limitations arising from its approved status under aviation law.</w:t>
      </w:r>
    </w:p>
    <w:p>
      <w:pPr>
        <w:pStyle w:val="Paragraph"/>
        <w:ind w:start="240"/>
        <w:spacing w:before="120" w:after="60"/>
      </w:pPr>
      <w:r>
        <w:t xml:space="preserve">5.2 The Company shall not exercise any power in a manner that implies regulatory authority or responsibility beyond its approval.</w:t>
      </w:r>
    </w:p>
    <w:p>
      <w:pPr>
        <w:pStyle w:val="Heading 3"/>
        <w:spacing w:before="300" w:after="100"/>
        <w:outlineLvl w:val="2"/>
      </w:pPr>
      <w:r>
        <w:t xml:space="preserve">6. GOVERNANCE, OVERSIGHT AND ADMINISTRATIVE ACTION</w:t>
      </w:r>
    </w:p>
    <w:p>
      <w:pPr>
        <w:pStyle w:val="Paragraph"/>
        <w:ind w:start="240"/>
        <w:spacing w:before="120" w:after="60"/>
      </w:pPr>
      <w:r>
        <w:t xml:space="preserve">6.1 The Company shall conduct its affairs in accordance with principles of:</w:t>
      </w:r>
    </w:p>
    <w:p>
      <w:pPr>
        <w:pStyle w:val="Dashed List"/>
        <w:numPr>
          <w:ilvl w:val="0"/>
          <w:numId w:val="4"/>
        </w:numPr>
        <w:spacing w:before="20" w:after="12"/>
      </w:pPr>
      <w:r>
        <w:t xml:space="preserve">lawfulness;</w:t>
      </w:r>
    </w:p>
    <w:p>
      <w:pPr>
        <w:pStyle w:val="Dashed List"/>
        <w:numPr>
          <w:ilvl w:val="0"/>
          <w:numId w:val="4"/>
        </w:numPr>
        <w:spacing w:after="12"/>
      </w:pPr>
      <w:r>
        <w:t xml:space="preserve">reasonableness;</w:t>
      </w:r>
    </w:p>
    <w:p>
      <w:pPr>
        <w:pStyle w:val="Dashed List"/>
        <w:numPr>
          <w:ilvl w:val="0"/>
          <w:numId w:val="4"/>
        </w:numPr>
        <w:spacing w:after="12"/>
      </w:pPr>
      <w:r>
        <w:t xml:space="preserve">procedural fairness; and</w:t>
      </w:r>
    </w:p>
    <w:p>
      <w:pPr>
        <w:pStyle w:val="Dashed List"/>
        <w:numPr>
          <w:ilvl w:val="0"/>
          <w:numId w:val="4"/>
        </w:numPr>
        <w:spacing w:after="100"/>
      </w:pPr>
      <w:r>
        <w:t xml:space="preserve">accountability.</w:t>
      </w:r>
    </w:p>
    <w:p>
      <w:pPr>
        <w:pStyle w:val="Paragraph"/>
        <w:ind w:start="240"/>
        <w:spacing w:before="120" w:after="60"/>
      </w:pPr>
      <w:r>
        <w:t xml:space="preserve">6.2 Where the Company takes decisions that materially and adversely affect recognised persons or organisations, such decisions constitute administrative action and shall be exercised in accordance with applicable administrative justice principles.</w:t>
      </w:r>
    </w:p>
    <w:p>
      <w:pPr>
        <w:pStyle w:val="Paragraph"/>
        <w:ind w:start="240"/>
        <w:spacing w:before="120" w:after="60"/>
      </w:pPr>
      <w:r>
        <w:t xml:space="preserve">6.3 Governance instruments subordinate to this Memorandum shall distinguish clearly between:</w:t>
      </w:r>
    </w:p>
    <w:p>
      <w:pPr>
        <w:pStyle w:val="Dashed List"/>
        <w:numPr>
          <w:ilvl w:val="0"/>
          <w:numId w:val="5"/>
        </w:numPr>
        <w:spacing w:before="20" w:after="12"/>
      </w:pPr>
      <w:r>
        <w:t xml:space="preserve">governance and authority; and</w:t>
      </w:r>
    </w:p>
    <w:p>
      <w:pPr>
        <w:pStyle w:val="Dashed List"/>
        <w:numPr>
          <w:ilvl w:val="0"/>
          <w:numId w:val="5"/>
        </w:numPr>
        <w:spacing w:after="100"/>
      </w:pPr>
      <w:r>
        <w:t xml:space="preserve">operational procedures.</w:t>
      </w:r>
    </w:p>
    <w:p>
      <w:pPr>
        <w:pStyle w:val="Heading 3"/>
        <w:spacing w:before="300" w:after="100"/>
        <w:outlineLvl w:val="2"/>
      </w:pPr>
      <w:r>
        <w:t xml:space="preserve">7. GENERAL MEETINGS AND PARTICIPATION-BASED VOTING RIGHTS</w:t>
      </w:r>
    </w:p>
    <w:p>
      <w:pPr>
        <w:pStyle w:val="Heading 4"/>
        <w:spacing w:before="300" w:after="100"/>
        <w:outlineLvl w:val="3"/>
      </w:pPr>
      <w:r>
        <w:t xml:space="preserve">7.1 General Meetings</w:t>
      </w:r>
    </w:p>
    <w:p>
      <w:pPr>
        <w:pStyle w:val="Paragraph"/>
        <w:ind w:start="240"/>
        <w:spacing w:before="120" w:after="60"/>
      </w:pPr>
      <w:r>
        <w:t xml:space="preserve">The Company may convene general meetings, including an annual general meeting, for purposes permitted by the Companies Act and this Memorandum.</w:t>
      </w:r>
    </w:p>
    <w:p>
      <w:pPr>
        <w:pStyle w:val="Heading 4"/>
        <w:spacing w:before="300" w:after="100"/>
        <w:outlineLvl w:val="3"/>
      </w:pPr>
      <w:r>
        <w:t xml:space="preserve">7.2 Participation-Based Voting Entitlement</w:t>
      </w:r>
    </w:p>
    <w:p>
      <w:pPr>
        <w:pStyle w:val="Paragraph"/>
        <w:ind w:start="240"/>
        <w:spacing w:before="120" w:after="60"/>
      </w:pPr>
      <w:r>
        <w:t xml:space="preserve">Notwithstanding clause 2.1, persons recognised by the Company as National Members for participation purposes may, subject to eligibility criteria determined by the Board, vote at a general meeting of the Company solely on the election and removal of Directors.</w:t>
      </w:r>
    </w:p>
    <w:p>
      <w:pPr>
        <w:pStyle w:val="Heading 4"/>
        <w:spacing w:before="300" w:after="100"/>
        <w:outlineLvl w:val="3"/>
      </w:pPr>
      <w:r>
        <w:t xml:space="preserve">7.3 No Company Membership Created</w:t>
      </w:r>
    </w:p>
    <w:p>
      <w:pPr>
        <w:pStyle w:val="Paragraph"/>
        <w:ind w:start="240"/>
        <w:spacing w:before="120" w:after="60"/>
      </w:pPr>
      <w:r>
        <w:t xml:space="preserve">The voting entitlement contemplated in clause 6A.2 does not constitute membership of the Company for purposes of the Companies Act and confers no proprietary, economic, or residual interest in the Company.</w:t>
      </w:r>
    </w:p>
    <w:p>
      <w:pPr>
        <w:pStyle w:val="Heading 4"/>
        <w:spacing w:before="300" w:after="100"/>
        <w:outlineLvl w:val="3"/>
      </w:pPr>
      <w:r>
        <w:t xml:space="preserve">7.4 Limitation of Voting Rights</w:t>
      </w:r>
    </w:p>
    <w:p>
      <w:pPr>
        <w:pStyle w:val="Paragraph"/>
        <w:ind w:start="240"/>
        <w:spacing w:before="120" w:after="60"/>
      </w:pPr>
      <w:r>
        <w:t xml:space="preserve">Persons entitled to vote in terms of clause 7.2 shall have no right to vote on:</w:t>
      </w:r>
    </w:p>
    <w:p>
      <w:pPr>
        <w:pStyle w:val="Paragraph"/>
        <w:ind w:start="240"/>
        <w:spacing w:before="120" w:after="60"/>
      </w:pPr>
      <w:r>
        <w:t xml:space="preserve">a) amendments to this Memorandum;</w:t>
      </w:r>
    </w:p>
    <w:p>
      <w:pPr>
        <w:pStyle w:val="Paragraph"/>
        <w:ind w:start="240"/>
        <w:spacing w:before="120" w:after="60"/>
      </w:pPr>
      <w:r>
        <w:t xml:space="preserve">b) approval of special resolutions, unless expressly authorised by this Memorandum; or</w:t>
      </w:r>
    </w:p>
    <w:p>
      <w:pPr>
        <w:pStyle w:val="Paragraph"/>
        <w:ind w:start="240"/>
        <w:spacing w:before="120" w:after="60"/>
      </w:pPr>
      <w:r>
        <w:t xml:space="preserve">c) any matter other than the election or removal of Directors.</w:t>
      </w:r>
    </w:p>
    <w:p>
      <w:pPr>
        <w:pStyle w:val="Heading 4"/>
        <w:spacing w:before="300" w:after="100"/>
        <w:outlineLvl w:val="3"/>
      </w:pPr>
      <w:r>
        <w:t xml:space="preserve">7.5 Governance Rules</w:t>
      </w:r>
    </w:p>
    <w:p>
      <w:pPr>
        <w:pStyle w:val="Paragraph"/>
        <w:ind w:start="240"/>
        <w:spacing w:before="120" w:after="60"/>
      </w:pPr>
      <w:r>
        <w:t xml:space="preserve">The procedures, eligibility requirements, and conduct of elections contemplated in this section shall be governed by governance instruments approved by the Board, provided that such instruments are consistent with this Memorandum and principles of procedural fairness.</w:t>
      </w:r>
    </w:p>
    <w:p>
      <w:pPr>
        <w:pStyle w:val="Heading 3"/>
        <w:spacing w:before="300" w:after="100"/>
        <w:outlineLvl w:val="2"/>
      </w:pPr>
      <w:r>
        <w:t xml:space="preserve">8. THE BOARD OF DIRECTORS</w:t>
      </w:r>
    </w:p>
    <w:p>
      <w:pPr>
        <w:pStyle w:val="Heading 4"/>
        <w:spacing w:before="300" w:after="100"/>
        <w:outlineLvl w:val="3"/>
      </w:pPr>
      <w:r>
        <w:t xml:space="preserve">8.1 Composition</w:t>
      </w:r>
    </w:p>
    <w:p>
      <w:pPr>
        <w:pStyle w:val="Paragraph"/>
        <w:ind w:start="240"/>
        <w:spacing w:before="120" w:after="60"/>
      </w:pPr>
      <w:r>
        <w:t xml:space="preserve">8.1.1 The Company shall have a minimum of three directors.</w:t>
      </w:r>
    </w:p>
    <w:p>
      <w:pPr>
        <w:pStyle w:val="Paragraph"/>
        <w:ind w:start="240"/>
        <w:spacing w:before="120" w:after="60"/>
      </w:pPr>
      <w:r>
        <w:t xml:space="preserve">8.1.2 Directors must be fit and proper persons and must not be disqualified under any applicable law.</w:t>
      </w:r>
    </w:p>
    <w:p>
      <w:pPr>
        <w:pStyle w:val="Paragraph"/>
        <w:ind w:start="240"/>
        <w:spacing w:before="120" w:after="60"/>
      </w:pPr>
      <w:r>
        <w:t xml:space="preserve">8.1.3 Directors shall be elected by persons entitled to vote in terms of clause 7.2 at a general meeting of the Company, unless appointed to fill a casual vacancy in accordance with this Memorandum.</w:t>
      </w:r>
    </w:p>
    <w:p>
      <w:pPr>
        <w:pStyle w:val="Paragraph"/>
        <w:ind w:start="240"/>
        <w:spacing w:before="120" w:after="60"/>
      </w:pPr>
      <w:r>
        <w:t xml:space="preserve">8.1.4 A Director may be removed by ordinary resolution of persons entitled to vote in terms of clause 7.2 at a general meeting, subject to compliance with applicable law and principles of procedural fairness.</w:t>
      </w:r>
    </w:p>
    <w:p>
      <w:pPr>
        <w:pStyle w:val="Paragraph"/>
        <w:ind w:start="240"/>
        <w:spacing w:before="120" w:after="60"/>
      </w:pPr>
      <w:r>
        <w:t xml:space="preserve">8.1.5 A Director shall hold office for a term of three (3) years, calculated from the date of election or appointment, and may be eligible for re-election, subject to this Memorandum and any applicable governance instruments.</w:t>
      </w:r>
    </w:p>
    <w:p>
      <w:pPr>
        <w:pStyle w:val="Heading 4"/>
        <w:spacing w:before="300" w:after="100"/>
        <w:outlineLvl w:val="3"/>
      </w:pPr>
      <w:r>
        <w:t xml:space="preserve">8.2 Powers of the Board</w:t>
      </w:r>
    </w:p>
    <w:p>
      <w:pPr>
        <w:pStyle w:val="Paragraph"/>
        <w:ind w:start="240"/>
        <w:spacing w:before="120" w:after="60"/>
      </w:pPr>
      <w:r>
        <w:t xml:space="preserve">8.2.1 The Board is responsible for the governance, strategic direction, and oversight of the Company.</w:t>
      </w:r>
    </w:p>
    <w:p>
      <w:pPr>
        <w:pStyle w:val="Paragraph"/>
        <w:ind w:start="240"/>
        <w:spacing w:before="120" w:after="60"/>
      </w:pPr>
      <w:r>
        <w:t xml:space="preserve">8.2.2 The Board shall not involve itself in day-to-day operational execution except to the extent necessary to fulfil its governance obligations.</w:t>
      </w:r>
    </w:p>
    <w:p>
      <w:pPr>
        <w:pStyle w:val="Paragraph"/>
        <w:ind w:start="240"/>
        <w:spacing w:before="120" w:after="60"/>
      </w:pPr>
      <w:r>
        <w:t xml:space="preserve">8.2.3 The Board shall ensure that:</w:t>
      </w:r>
    </w:p>
    <w:p>
      <w:pPr>
        <w:pStyle w:val="Dashed List"/>
        <w:numPr>
          <w:ilvl w:val="0"/>
          <w:numId w:val="6"/>
        </w:numPr>
        <w:spacing w:before="20" w:after="12"/>
      </w:pPr>
      <w:r>
        <w:t xml:space="preserve">authority is exercised within approved limits;</w:t>
      </w:r>
    </w:p>
    <w:p>
      <w:pPr>
        <w:pStyle w:val="Dashed List"/>
        <w:numPr>
          <w:ilvl w:val="0"/>
          <w:numId w:val="6"/>
        </w:numPr>
        <w:spacing w:after="12"/>
      </w:pPr>
      <w:r>
        <w:t xml:space="preserve">delegation is clearly defined and documented; and</w:t>
      </w:r>
    </w:p>
    <w:p>
      <w:pPr>
        <w:pStyle w:val="Dashed List"/>
        <w:numPr>
          <w:ilvl w:val="0"/>
          <w:numId w:val="6"/>
        </w:numPr>
        <w:spacing w:after="100"/>
      </w:pPr>
      <w:r>
        <w:t xml:space="preserve">accountability is maintained.</w:t>
      </w:r>
    </w:p>
    <w:p>
      <w:pPr>
        <w:pStyle w:val="Heading 4"/>
        <w:spacing w:before="300" w:after="100"/>
        <w:outlineLvl w:val="3"/>
      </w:pPr>
      <w:r>
        <w:t xml:space="preserve">8.3 Delegation</w:t>
      </w:r>
    </w:p>
    <w:p>
      <w:pPr>
        <w:pStyle w:val="Paragraph"/>
        <w:ind w:start="240"/>
        <w:spacing w:before="120" w:after="60"/>
      </w:pPr>
      <w:r>
        <w:t xml:space="preserve">8.3.1 The Board may delegate authority to committees or office-bearers, subject to defined terms of reference.</w:t>
      </w:r>
    </w:p>
    <w:p>
      <w:pPr>
        <w:pStyle w:val="Paragraph"/>
        <w:ind w:start="240"/>
        <w:spacing w:before="120" w:after="60"/>
      </w:pPr>
      <w:r>
        <w:t xml:space="preserve">8.3.2 Delegation does not divest the Board of accountability.</w:t>
      </w:r>
    </w:p>
    <w:p>
      <w:pPr>
        <w:pStyle w:val="Heading 3"/>
        <w:spacing w:before="300" w:after="100"/>
        <w:outlineLvl w:val="2"/>
      </w:pPr>
      <w:r>
        <w:t xml:space="preserve">9. ACCOUNTABLE AND COMPLIANCE FUNCTION</w:t>
      </w:r>
    </w:p>
    <w:p>
      <w:pPr>
        <w:pStyle w:val="Paragraph"/>
        <w:ind w:start="240"/>
        <w:spacing w:before="120" w:after="60"/>
      </w:pPr>
      <w:r>
        <w:t xml:space="preserve">9.1 The Board shall appoint an Accountable and Compliance Manager responsible for:</w:t>
      </w:r>
    </w:p>
    <w:p>
      <w:pPr>
        <w:pStyle w:val="Dashed List"/>
        <w:numPr>
          <w:ilvl w:val="0"/>
          <w:numId w:val="7"/>
        </w:numPr>
        <w:spacing w:before="20" w:after="12"/>
      </w:pPr>
      <w:r>
        <w:t xml:space="preserve">oversight of compliance with approval conditions;</w:t>
      </w:r>
    </w:p>
    <w:p>
      <w:pPr>
        <w:pStyle w:val="Dashed List"/>
        <w:numPr>
          <w:ilvl w:val="0"/>
          <w:numId w:val="7"/>
        </w:numPr>
        <w:spacing w:after="12"/>
      </w:pPr>
      <w:r>
        <w:t xml:space="preserve">liaison with the Civil Aviation Authority; and</w:t>
      </w:r>
    </w:p>
    <w:p>
      <w:pPr>
        <w:pStyle w:val="Dashed List"/>
        <w:numPr>
          <w:ilvl w:val="0"/>
          <w:numId w:val="7"/>
        </w:numPr>
        <w:spacing w:after="100"/>
      </w:pPr>
      <w:r>
        <w:t xml:space="preserve">advising the Board on regulatory and governance compliance.</w:t>
      </w:r>
    </w:p>
    <w:p>
      <w:pPr>
        <w:pStyle w:val="Paragraph"/>
        <w:ind w:start="240"/>
        <w:spacing w:before="120" w:after="60"/>
      </w:pPr>
      <w:r>
        <w:t xml:space="preserve">9.2 The appointment of an Accountable and Compliance Manager does not transfer regulatory authority to the Company.</w:t>
      </w:r>
    </w:p>
    <w:p>
      <w:pPr>
        <w:pStyle w:val="Heading 3"/>
        <w:spacing w:before="300" w:after="100"/>
        <w:outlineLvl w:val="2"/>
      </w:pPr>
      <w:r>
        <w:t xml:space="preserve">10. INFORMATION GOVERNANCE</w:t>
      </w:r>
    </w:p>
    <w:p>
      <w:pPr>
        <w:pStyle w:val="Paragraph"/>
        <w:ind w:start="240"/>
        <w:spacing w:before="120" w:after="60"/>
      </w:pPr>
      <w:r>
        <w:t xml:space="preserve">10.1 The Board is responsible for ensuring lawful, ethical, and transparent governance of information.</w:t>
      </w:r>
    </w:p>
    <w:p>
      <w:pPr>
        <w:pStyle w:val="Paragraph"/>
        <w:ind w:start="240"/>
        <w:spacing w:before="120" w:after="60"/>
      </w:pPr>
      <w:r>
        <w:t xml:space="preserve">10.2 The Company shall comply with applicable access-to-information and data-protection legislation.</w:t>
      </w:r>
    </w:p>
    <w:p>
      <w:pPr>
        <w:pStyle w:val="Paragraph"/>
        <w:ind w:start="240"/>
        <w:spacing w:before="120" w:after="60"/>
      </w:pPr>
      <w:r>
        <w:t xml:space="preserve">10.3 The Board shall designate appropriate officers to fulfil information governance roles as required by law.</w:t>
      </w:r>
    </w:p>
    <w:p>
      <w:pPr>
        <w:pStyle w:val="Heading 3"/>
        <w:spacing w:before="300" w:after="100"/>
        <w:outlineLvl w:val="2"/>
      </w:pPr>
      <w:r>
        <w:t xml:space="preserve">11. FINANCIAL GOVERNANCE</w:t>
      </w:r>
    </w:p>
    <w:p>
      <w:pPr>
        <w:pStyle w:val="Heading 4"/>
        <w:spacing w:before="300" w:after="100"/>
        <w:outlineLvl w:val="3"/>
      </w:pPr>
      <w:r>
        <w:t xml:space="preserve">11.1 Reserves</w:t>
      </w:r>
    </w:p>
    <w:p>
      <w:pPr>
        <w:pStyle w:val="Paragraph"/>
        <w:ind w:start="240"/>
        <w:spacing w:before="120" w:after="60"/>
      </w:pPr>
      <w:r>
        <w:t xml:space="preserve">11.1.1 The Board may set aside and carry to a reserve fund all or any of the surplus funds of the Company, which may at its discretion be applied for any purpose for which such funds may properly be applied, in any manner the Board chooses.</w:t>
      </w:r>
    </w:p>
    <w:p>
      <w:pPr>
        <w:pStyle w:val="Paragraph"/>
        <w:ind w:start="240"/>
        <w:spacing w:before="120" w:after="60"/>
      </w:pPr>
      <w:r>
        <w:t xml:space="preserve">11.1.2 The Board may establish and maintain designated reserves or funds for specific purposes consistent with the Company’s objects, subject to applicable law and any policies approved by the Board.</w:t>
      </w:r>
    </w:p>
    <w:p>
      <w:pPr>
        <w:pStyle w:val="Heading 4"/>
        <w:spacing w:before="300" w:after="100"/>
        <w:outlineLvl w:val="3"/>
      </w:pPr>
      <w:r>
        <w:t xml:space="preserve">11.2 Designated Strategic Funds</w:t>
      </w:r>
    </w:p>
    <w:p>
      <w:pPr>
        <w:pStyle w:val="Paragraph"/>
        <w:ind w:start="240"/>
        <w:spacing w:before="120" w:after="60"/>
      </w:pPr>
      <w:r>
        <w:rPr>
          <w:rStyle w:val="Strong"/>
        </w:rPr>
        <w:t xml:space="preserve">11.2.1 Authority to Establish Designated Strategic Funds</w:t>
      </w:r>
    </w:p>
    <w:p>
      <w:pPr>
        <w:pStyle w:val="Paragraph"/>
        <w:ind w:start="240"/>
        <w:spacing w:before="120" w:after="60"/>
      </w:pPr>
      <w:r>
        <w:t xml:space="preserve">The Board may establish designated strategic or reserve funds for purposes consistent with the Company’s objects and its public-interest mandate.</w:t>
      </w:r>
    </w:p>
    <w:p>
      <w:pPr>
        <w:pStyle w:val="Paragraph"/>
        <w:ind w:start="240"/>
        <w:spacing w:before="120" w:after="60"/>
      </w:pPr>
      <w:r>
        <w:rPr>
          <w:rStyle w:val="Strong"/>
        </w:rPr>
        <w:t xml:space="preserve">11.2.2 Protection of Designated Strategic Funds</w:t>
      </w:r>
    </w:p>
    <w:p>
      <w:pPr>
        <w:pStyle w:val="Paragraph"/>
        <w:ind w:start="240"/>
        <w:spacing w:before="120" w:after="60"/>
      </w:pPr>
      <w:r>
        <w:t xml:space="preserve">Once established, the purpose of any designated strategic fund may not be materially altered, and such fund may not be dissolved, merged, or applied to a materially different purpose, except by special resolution of persons entitled to vote in terms of this Memorandum.</w:t>
      </w:r>
    </w:p>
    <w:p>
      <w:pPr>
        <w:pStyle w:val="Paragraph"/>
        <w:ind w:start="240"/>
        <w:spacing w:before="120" w:after="60"/>
      </w:pPr>
      <w:r>
        <w:rPr>
          <w:rStyle w:val="Strong"/>
        </w:rPr>
        <w:t xml:space="preserve">11.2.3 Board Discretion Within Approved Purpose</w:t>
      </w:r>
    </w:p>
    <w:p>
      <w:pPr>
        <w:pStyle w:val="Paragraph"/>
        <w:ind w:start="240"/>
        <w:spacing w:before="120" w:after="60"/>
      </w:pPr>
      <w:r>
        <w:t xml:space="preserve">Nothing in this Memorandum limits the authority of the Board to determine annual allocations to, or expenditure from, a designated strategic fund, provided that such expenditure is consistent with the approved purpose of that fund, applicable law, and any policies approved by the Board.</w:t>
      </w:r>
    </w:p>
    <w:p>
      <w:pPr>
        <w:pStyle w:val="Paragraph"/>
        <w:ind w:start="240"/>
        <w:spacing w:before="120" w:after="60"/>
      </w:pPr>
      <w:r>
        <w:rPr>
          <w:rStyle w:val="Strong"/>
        </w:rPr>
        <w:t xml:space="preserve">11.2.4 No Individual Entitlement</w:t>
      </w:r>
    </w:p>
    <w:p>
      <w:pPr>
        <w:pStyle w:val="Paragraph"/>
        <w:ind w:start="240"/>
        <w:spacing w:before="120" w:after="60"/>
      </w:pPr>
      <w:r>
        <w:t xml:space="preserve">The establishment of a designated strategic fund does not create any individual or organisational entitlement to funding, nor does it impose any obligation on the Company to allocate or expend funds in any particular financial period.</w:t>
      </w:r>
    </w:p>
    <w:p>
      <w:pPr>
        <w:pStyle w:val="Heading 4"/>
        <w:spacing w:before="300" w:after="100"/>
        <w:outlineLvl w:val="3"/>
      </w:pPr>
      <w:r>
        <w:t xml:space="preserve">11.3 Banking and Investment of Funds</w:t>
      </w:r>
    </w:p>
    <w:p>
      <w:pPr>
        <w:pStyle w:val="Paragraph"/>
        <w:ind w:start="240"/>
        <w:spacing w:before="120" w:after="60"/>
      </w:pPr>
      <w:r>
        <w:t xml:space="preserve">11.3.1 The Board must ensure that all money received by the Company is deposited in one or more bank accounts in the name of the Company with a bank established under the Banks Act, No. 94 of 1990.</w:t>
      </w:r>
    </w:p>
    <w:p>
      <w:pPr>
        <w:pStyle w:val="Paragraph"/>
        <w:ind w:start="240"/>
        <w:spacing w:before="120" w:after="60"/>
      </w:pPr>
      <w:r>
        <w:t xml:space="preserve">11.3.2 The Board must, from time to time, determine, by way of resolution:</w:t>
      </w:r>
    </w:p>
    <w:p>
      <w:pPr>
        <w:pStyle w:val="Paragraph"/>
        <w:ind w:start="240"/>
        <w:spacing w:before="120" w:after="60"/>
      </w:pPr>
      <w:r>
        <w:t xml:space="preserve">a) who will have authority to operate the bank accounts of the Company, sign cheques and other financial instruments and contracts on behalf of the Company, and otherwise disburse Company funds and incur commitments on behalf of the Company; and</w:t>
      </w:r>
    </w:p>
    <w:p>
      <w:pPr>
        <w:pStyle w:val="Paragraph"/>
        <w:ind w:start="240"/>
        <w:spacing w:before="120" w:after="60"/>
      </w:pPr>
      <w:r>
        <w:t xml:space="preserve">b) the procedures to be followed in this regard.</w:t>
      </w:r>
    </w:p>
    <w:p>
      <w:pPr>
        <w:pStyle w:val="Heading 4"/>
        <w:spacing w:before="300" w:after="100"/>
        <w:outlineLvl w:val="3"/>
      </w:pPr>
      <w:r>
        <w:t xml:space="preserve">11.4 Accounting Records</w:t>
      </w:r>
    </w:p>
    <w:p>
      <w:pPr>
        <w:pStyle w:val="Paragraph"/>
        <w:ind w:start="240"/>
        <w:spacing w:before="120" w:after="60"/>
      </w:pPr>
      <w:r>
        <w:t xml:space="preserve">11.4.1 The Company must keep accurate and complete accounting records, in one of the official languages of the Republic, as necessary to enable the Company to satisfy its obligations in terms of the Companies Act, 2008, or any other law, with respect to the preparation of financial statements.</w:t>
      </w:r>
    </w:p>
    <w:p>
      <w:pPr>
        <w:pStyle w:val="Paragraph"/>
        <w:ind w:start="240"/>
        <w:spacing w:before="120" w:after="60"/>
      </w:pPr>
      <w:r>
        <w:t xml:space="preserve">11.4.2 The Company must prepare and keep any further accounting records which may be prescribed by or in terms of the Companies Act, 2008.</w:t>
      </w:r>
    </w:p>
    <w:p>
      <w:pPr>
        <w:pStyle w:val="Heading 4"/>
        <w:spacing w:before="300" w:after="100"/>
        <w:outlineLvl w:val="3"/>
      </w:pPr>
      <w:r>
        <w:t xml:space="preserve">11.5 Financial Statements</w:t>
      </w:r>
    </w:p>
    <w:p>
      <w:pPr>
        <w:pStyle w:val="Paragraph"/>
        <w:ind w:start="240"/>
        <w:spacing w:before="120" w:after="60"/>
      </w:pPr>
      <w:r>
        <w:t xml:space="preserve">11.5.1 Any financial statements prepared by the Company (including any annual financial statements) must:</w:t>
      </w:r>
    </w:p>
    <w:p>
      <w:pPr>
        <w:pStyle w:val="Paragraph"/>
        <w:ind w:start="240"/>
        <w:spacing w:before="120" w:after="60"/>
      </w:pPr>
      <w:r>
        <w:t xml:space="preserve">a) satisfy any reporting standards as to form and content which are prescribed from time to time in terms of the Companies Act, 2008;</w:t>
      </w:r>
    </w:p>
    <w:p>
      <w:pPr>
        <w:pStyle w:val="Paragraph"/>
        <w:ind w:start="240"/>
        <w:spacing w:before="120" w:after="60"/>
      </w:pPr>
      <w:r>
        <w:t xml:space="preserve">b) present fairly the state of affairs and business of the Company, and explain the transactions and financial position of the business of the Company;</w:t>
      </w:r>
    </w:p>
    <w:p>
      <w:pPr>
        <w:pStyle w:val="Paragraph"/>
        <w:ind w:start="240"/>
        <w:spacing w:before="120" w:after="60"/>
      </w:pPr>
      <w:r>
        <w:t xml:space="preserve">c) show the Company’s assets and liabilities, as well as its income and expenses, and any other information prescribed in terms of the Companies Act, 2008;</w:t>
      </w:r>
    </w:p>
    <w:p>
      <w:pPr>
        <w:pStyle w:val="Paragraph"/>
        <w:ind w:start="240"/>
        <w:spacing w:before="120" w:after="60"/>
      </w:pPr>
      <w:r>
        <w:t xml:space="preserve">d) set out the date on which the statements were published, and the accounting period to which the statements apply;</w:t>
      </w:r>
    </w:p>
    <w:p>
      <w:pPr>
        <w:pStyle w:val="Paragraph"/>
        <w:ind w:start="240"/>
        <w:spacing w:before="120" w:after="60"/>
      </w:pPr>
      <w:r>
        <w:t xml:space="preserve">e) bear, on the first page of the statements, a prominent notice indicating whether the statements:</w:t>
      </w:r>
    </w:p>
    <w:p>
      <w:pPr>
        <w:pStyle w:val="Dashed List"/>
        <w:numPr>
          <w:ilvl w:val="0"/>
          <w:numId w:val="8"/>
        </w:numPr>
        <w:spacing w:before="20" w:after="12"/>
      </w:pPr>
      <w:r>
        <w:t xml:space="preserve">have been audited in compliance with any applicable requirement of the Companies Act, 2008;</w:t>
      </w:r>
    </w:p>
    <w:p>
      <w:pPr>
        <w:pStyle w:val="Dashed List"/>
        <w:numPr>
          <w:ilvl w:val="1"/>
          <w:numId w:val="8"/>
        </w:numPr>
        <w:spacing w:after="12"/>
      </w:pPr>
      <w:r>
        <w:t xml:space="preserve">if not audited, have been independently reviewed in compliance with any applicable requirement of the Companies Act, 2008; or</w:t>
      </w:r>
    </w:p>
    <w:p>
      <w:pPr>
        <w:pStyle w:val="Dashed List"/>
        <w:numPr>
          <w:ilvl w:val="1"/>
          <w:numId w:val="8"/>
        </w:numPr>
        <w:spacing w:after="12"/>
      </w:pPr>
      <w:r>
        <w:t xml:space="preserve">have not been audited or independently reviewed;</w:t>
      </w:r>
    </w:p>
    <w:p>
      <w:pPr>
        <w:pStyle w:val="Dashed List"/>
        <w:ind w:start="600" w:hanging="0"/>
        <w:spacing w:after="12"/>
      </w:pPr>
      <w:r>
        <w:t xml:space="preserve">f) state the name, and professional designation (if any), of the individual or firm who prepared, or supervised the preparation of, the statements;</w:t>
      </w:r>
    </w:p>
    <w:p>
      <w:pPr>
        <w:pStyle w:val="Dashed List"/>
        <w:ind w:start="600" w:hanging="0"/>
        <w:spacing w:after="12"/>
      </w:pPr>
      <w:r>
        <w:t xml:space="preserve">g) not be false or misleading in any material respect; and</w:t>
      </w:r>
    </w:p>
    <w:p>
      <w:pPr>
        <w:pStyle w:val="Dashed List"/>
        <w:ind w:start="600" w:hanging="0"/>
        <w:spacing w:after="100"/>
      </w:pPr>
      <w:r>
        <w:t xml:space="preserve">h) not be incomplete in any material particular, except if they constitute a summary contemplated in section 29(3) of the Companies Act, 2008.</w:t>
      </w:r>
    </w:p>
    <w:p>
      <w:pPr>
        <w:pStyle w:val="Heading 4"/>
        <w:spacing w:before="300" w:after="100"/>
        <w:outlineLvl w:val="3"/>
      </w:pPr>
      <w:r>
        <w:t xml:space="preserve">11.6 Annual Financial Statements: Preparation, Audit and Review</w:t>
      </w:r>
    </w:p>
    <w:p>
      <w:pPr>
        <w:pStyle w:val="Paragraph"/>
        <w:ind w:start="240"/>
        <w:spacing w:before="120" w:after="60"/>
      </w:pPr>
      <w:r>
        <w:t xml:space="preserve">11.6.1 The Company must prepare annual financial statements within six (6) months after the end of its financial year.</w:t>
      </w:r>
    </w:p>
    <w:p>
      <w:pPr>
        <w:pStyle w:val="Paragraph"/>
        <w:ind w:start="240"/>
        <w:spacing w:before="120" w:after="60"/>
      </w:pPr>
      <w:r>
        <w:t xml:space="preserve">11.6.2 The Company’s annual financial statements must be audited by a registered auditor (selected and appointed by the Board in its absolute discretion) if this is required by any regulations made in terms of section 30(7) of the Companies Act, 2008.</w:t>
      </w:r>
    </w:p>
    <w:p>
      <w:pPr>
        <w:pStyle w:val="Paragraph"/>
        <w:ind w:start="240"/>
        <w:spacing w:before="120" w:after="60"/>
      </w:pPr>
      <w:r>
        <w:t xml:space="preserve">11.6.3 Even if the annual financial statements are not required to be audited by a registered auditor, the Board may, in its absolute discretion, resolve from time to time that any annual financial statements of the Company be audited.</w:t>
      </w:r>
    </w:p>
    <w:p>
      <w:pPr>
        <w:pStyle w:val="Paragraph"/>
        <w:ind w:start="240"/>
        <w:spacing w:before="120" w:after="60"/>
      </w:pPr>
      <w:r>
        <w:t xml:space="preserve">11.6.4 If any annual financial statements of the Company are not audited by a registered auditor, they must be independently reviewed:</w:t>
      </w:r>
    </w:p>
    <w:p>
      <w:pPr>
        <w:pStyle w:val="Paragraph"/>
        <w:ind w:start="240"/>
        <w:spacing w:before="120" w:after="60"/>
      </w:pPr>
      <w:r>
        <w:t xml:space="preserve">a) in the manner required by any regulations promulgated from time to time in terms of section 30(7) of the Companies Act, 2008, if such regulations require such an independent review; and</w:t>
      </w:r>
    </w:p>
    <w:p>
      <w:pPr>
        <w:pStyle w:val="Paragraph"/>
        <w:ind w:start="240"/>
        <w:spacing w:before="120" w:after="60"/>
      </w:pPr>
      <w:r>
        <w:t xml:space="preserve">b) by a member (selected by the Board in its absolute discretion) of a profession stipulated in any such regulation.</w:t>
      </w:r>
    </w:p>
    <w:p>
      <w:pPr>
        <w:pStyle w:val="Paragraph"/>
        <w:ind w:start="240"/>
        <w:spacing w:before="120" w:after="60"/>
      </w:pPr>
      <w:r>
        <w:t xml:space="preserve">11.6.5 The annual financial statements of the Company must:</w:t>
      </w:r>
    </w:p>
    <w:p>
      <w:pPr>
        <w:pStyle w:val="Paragraph"/>
        <w:ind w:start="240"/>
        <w:spacing w:before="120" w:after="60"/>
      </w:pPr>
      <w:r>
        <w:t xml:space="preserve">a) include an auditor’s report, if the statements are audited by a registered auditor;</w:t>
      </w:r>
    </w:p>
    <w:p>
      <w:pPr>
        <w:pStyle w:val="Paragraph"/>
        <w:ind w:start="240"/>
        <w:spacing w:before="120" w:after="60"/>
      </w:pPr>
      <w:r>
        <w:t xml:space="preserve">b) include a report by the Directors with respect to the state of affairs, the business and the profit or loss of the Company; and</w:t>
      </w:r>
    </w:p>
    <w:p>
      <w:pPr>
        <w:pStyle w:val="Paragraph"/>
        <w:ind w:start="240"/>
        <w:spacing w:before="120" w:after="60"/>
      </w:pPr>
      <w:r>
        <w:t xml:space="preserve">c) be approved by the Board and signed by an authorised Director on behalf of the Board.</w:t>
      </w:r>
    </w:p>
    <w:p>
      <w:pPr>
        <w:pStyle w:val="Paragraph"/>
        <w:ind w:start="240"/>
        <w:spacing w:before="120" w:after="60"/>
      </w:pPr>
      <w:r>
        <w:t xml:space="preserve">11.6.6 If any annual financial statements of the Company are required to be audited, those annual financial statements must include particulars showing:</w:t>
      </w:r>
    </w:p>
    <w:p>
      <w:pPr>
        <w:pStyle w:val="Paragraph"/>
        <w:ind w:start="240"/>
        <w:spacing w:before="120" w:after="60"/>
      </w:pPr>
      <w:r>
        <w:t xml:space="preserve">a) the remuneration and benefits received by each Director;</w:t>
      </w:r>
    </w:p>
    <w:p>
      <w:pPr>
        <w:pStyle w:val="Paragraph"/>
        <w:ind w:start="240"/>
        <w:spacing w:before="120" w:after="60"/>
      </w:pPr>
      <w:r>
        <w:t xml:space="preserve">b) the amount of:</w:t>
      </w:r>
    </w:p>
    <w:p>
      <w:pPr>
        <w:pStyle w:val="Dashed List"/>
        <w:numPr>
          <w:ilvl w:val="0"/>
          <w:numId w:val="9"/>
        </w:numPr>
        <w:spacing w:before="20" w:after="12"/>
      </w:pPr>
      <w:r>
        <w:t xml:space="preserve">any pensions paid by the Company to, or receivable by, current or past Directors or office-bearers;</w:t>
      </w:r>
    </w:p>
    <w:p>
      <w:pPr>
        <w:pStyle w:val="Dashed List"/>
        <w:numPr>
          <w:ilvl w:val="1"/>
          <w:numId w:val="9"/>
        </w:numPr>
        <w:spacing w:after="12"/>
      </w:pPr>
      <w:r>
        <w:t xml:space="preserve">any payment made or owing by the Company to a pension scheme with respect to current or past Directors or office-bearers; and</w:t>
      </w:r>
    </w:p>
    <w:p>
      <w:pPr>
        <w:pStyle w:val="Dashed List"/>
        <w:numPr>
          <w:ilvl w:val="1"/>
          <w:numId w:val="9"/>
        </w:numPr>
        <w:spacing w:after="12"/>
      </w:pPr>
      <w:r>
        <w:t xml:space="preserve">any compensation paid in respect of loss of office to any current or past Directors or office-bearers; and</w:t>
      </w:r>
    </w:p>
    <w:p>
      <w:pPr>
        <w:pStyle w:val="Dashed List"/>
        <w:ind w:start="600" w:hanging="0"/>
        <w:spacing w:after="100"/>
      </w:pPr>
      <w:r>
        <w:t xml:space="preserve">c) details of the service contracts of any current Directors or office-bearers.</w:t>
      </w:r>
    </w:p>
    <w:p>
      <w:pPr>
        <w:pStyle w:val="Heading 3"/>
        <w:spacing w:before="300" w:after="100"/>
        <w:outlineLvl w:val="2"/>
      </w:pPr>
      <w:r>
        <w:t xml:space="preserve">12. AMENDMENT OF THIS MOI</w:t>
      </w:r>
    </w:p>
    <w:p>
      <w:pPr>
        <w:pStyle w:val="Paragraph"/>
        <w:ind w:start="240"/>
        <w:spacing w:before="120" w:after="60"/>
      </w:pPr>
      <w:r>
        <w:t xml:space="preserve">12.1 This Memorandum may be amended in accordance with the Companies Act by special resolution of the Board or such persons as are entitled to exercise voting rights in terms of this Memorandum.</w:t>
      </w:r>
    </w:p>
    <w:p>
      <w:pPr>
        <w:pStyle w:val="Heading 3"/>
        <w:spacing w:before="300" w:after="100"/>
        <w:outlineLvl w:val="2"/>
      </w:pPr>
      <w:r>
        <w:t xml:space="preserve">13. INTERPRETATION</w:t>
      </w:r>
    </w:p>
    <w:p>
      <w:pPr>
        <w:pStyle w:val="Paragraph"/>
        <w:ind w:start="240"/>
        <w:spacing w:before="120" w:after="60"/>
      </w:pPr>
      <w:r>
        <w:t xml:space="preserve">13.1 In the event of conflict:</w:t>
      </w:r>
    </w:p>
    <w:p>
      <w:pPr>
        <w:pStyle w:val="Dashed List"/>
        <w:numPr>
          <w:ilvl w:val="0"/>
          <w:numId w:val="10"/>
        </w:numPr>
        <w:spacing w:before="20" w:after="12"/>
      </w:pPr>
      <w:r>
        <w:t xml:space="preserve">this Memorandum prevails over subordinate governance instruments; and</w:t>
      </w:r>
    </w:p>
    <w:p>
      <w:pPr>
        <w:pStyle w:val="Dashed List"/>
        <w:numPr>
          <w:ilvl w:val="0"/>
          <w:numId w:val="10"/>
        </w:numPr>
        <w:spacing w:after="100"/>
      </w:pPr>
      <w:r>
        <w:t xml:space="preserve">governance instruments prevail over operational procedures.</w:t>
      </w:r>
    </w:p>
    <w:p>
      <w:pPr>
        <w:pStyle w:val="Paragraph"/>
        <w:ind w:start="240"/>
        <w:spacing w:before="120" w:after="60"/>
      </w:pPr>
      <w:r>
        <w:t xml:space="preserve">13.2 Nothing in this Memorandum shall be interpreted as conferring regulatory authority on the Company.</w:t>
      </w:r>
    </w:p>
    <w:p>
      <w:pPr>
        <w:pStyle w:val="Heading 3"/>
        <w:spacing w:before="300" w:after="100"/>
        <w:outlineLvl w:val="2"/>
      </w:pPr>
      <w:r>
        <w:t xml:space="preserve">14. DEFINITIONS</w:t>
      </w:r>
    </w:p>
    <w:tbl>
      <w:tblPr>
        <w:tblBorders>
          <w:top w:space="0" w:shadow="0" w:frame="0" w:val="single" w:color="000000" w:sz="8"/>
          <w:start w:val="nil"/>
          <w:bottom w:space="0" w:shadow="0" w:frame="0" w:val="single" w:color="000000" w:sz="8"/>
          <w:end w:val="nil"/>
          <w:insideV w:val="nil"/>
          <w:insideH w:space="0" w:shadow="0" w:frame="0" w:val="single" w:color="dddddd" w:sz="4"/>
        </w:tblBorders>
        <w:jc w:val="left"/>
        <w:tblLayout w:type="fixed"/>
      </w:tblPr>
      <w:tblGrid>
        <w:gridCol w:w="3760"/>
        <w:gridCol w:w="4720"/>
      </w:tblGrid>
      <w:tr>
        <w:tc>
          <w:tcPr>
            <w:tcMar>
              <w:top w:w="80" w:type="dxa"/>
              <w:bottom w:w="80" w:type="dxa"/>
              <w:start w:w="60" w:type="dxa"/>
              <w:end w:w="60" w:type="dxa"/>
            </w:tcMar>
            <w:tcBorders>
              <w:bottom w:space="0" w:shadow="0" w:frame="0" w:val="single" w:color="000000" w:sz="8"/>
            </w:tcBorders>
          </w:tcPr>
          <w:p>
            <w:pPr>
              <w:pStyle w:val="Paragraph"/>
              <w:jc w:val="left"/>
              <w:spacing w:line="0" w:lineRule="atLeast"/>
            </w:pPr>
            <w:r>
              <w:rPr>
                <w:rStyle w:val="Strong"/>
              </w:rPr>
              <w:t xml:space="preserve">Term</w:t>
            </w:r>
          </w:p>
        </w:tc>
        <w:tc>
          <w:tcPr>
            <w:tcMar>
              <w:top w:w="80" w:type="dxa"/>
              <w:bottom w:w="80" w:type="dxa"/>
              <w:start w:w="60" w:type="dxa"/>
              <w:end w:w="60" w:type="dxa"/>
            </w:tcMar>
            <w:tcBorders>
              <w:bottom w:space="0" w:shadow="0" w:frame="0" w:val="single" w:color="000000" w:sz="8"/>
            </w:tcBorders>
          </w:tcPr>
          <w:p>
            <w:pPr>
              <w:pStyle w:val="Paragraph"/>
              <w:jc w:val="left"/>
              <w:spacing w:line="0" w:lineRule="atLeast"/>
            </w:pPr>
            <w:r>
              <w:rPr>
                <w:rStyle w:val="Strong"/>
              </w:rPr>
              <w:t xml:space="preserve">Definition</w:t>
            </w:r>
          </w:p>
        </w:tc>
      </w:tr>
      <w:tr>
        <w:tc>
          <w:tcPr>
            <w:tcMar>
              <w:top w:w="80" w:type="dxa"/>
              <w:bottom w:w="80" w:type="dxa"/>
              <w:start w:w="60" w:type="dxa"/>
              <w:end w:w="60" w:type="dxa"/>
            </w:tcMar>
          </w:tcPr>
          <w:p>
            <w:pPr>
              <w:pStyle w:val="Paragraph"/>
              <w:jc w:val="left"/>
              <w:spacing w:line="0" w:lineRule="atLeast"/>
            </w:pPr>
            <w:r>
              <w:rPr>
                <w:rStyle w:val="Strong"/>
              </w:rPr>
              <w:t xml:space="preserve">Company</w:t>
            </w:r>
          </w:p>
        </w:tc>
        <w:tc>
          <w:tcPr>
            <w:tcMar>
              <w:top w:w="80" w:type="dxa"/>
              <w:bottom w:w="80" w:type="dxa"/>
              <w:start w:w="60" w:type="dxa"/>
              <w:end w:w="60" w:type="dxa"/>
            </w:tcMar>
          </w:tcPr>
          <w:p>
            <w:pPr>
              <w:pStyle w:val="Paragraph"/>
              <w:jc w:val="left"/>
              <w:spacing w:line="0" w:lineRule="atLeast"/>
            </w:pPr>
            <w:r>
              <w:t xml:space="preserve">The South African Hang Gliding and Paragliding Association NPC, duly incorporated in terms of the Companies Act, 2008.</w:t>
            </w:r>
          </w:p>
        </w:tc>
      </w:tr>
      <w:tr>
        <w:tc>
          <w:tcPr>
            <w:tcMar>
              <w:top w:w="80" w:type="dxa"/>
              <w:bottom w:w="80" w:type="dxa"/>
              <w:start w:w="60" w:type="dxa"/>
              <w:end w:w="60" w:type="dxa"/>
            </w:tcMar>
          </w:tcPr>
          <w:p>
            <w:pPr>
              <w:pStyle w:val="Paragraph"/>
              <w:jc w:val="left"/>
              <w:spacing w:line="0" w:lineRule="atLeast"/>
            </w:pPr>
            <w:r>
              <w:rPr>
                <w:rStyle w:val="Strong"/>
              </w:rPr>
              <w:t xml:space="preserve">Companies Act</w:t>
            </w:r>
          </w:p>
        </w:tc>
        <w:tc>
          <w:tcPr>
            <w:tcMar>
              <w:top w:w="80" w:type="dxa"/>
              <w:bottom w:w="80" w:type="dxa"/>
              <w:start w:w="60" w:type="dxa"/>
              <w:end w:w="60" w:type="dxa"/>
            </w:tcMar>
          </w:tcPr>
          <w:p>
            <w:pPr>
              <w:pStyle w:val="Paragraph"/>
              <w:jc w:val="left"/>
              <w:spacing w:line="0" w:lineRule="atLeast"/>
            </w:pPr>
            <w:r>
              <w:t xml:space="preserve">The Companies Act, No. 71 of 2008, as amended.</w:t>
            </w:r>
          </w:p>
        </w:tc>
      </w:tr>
      <w:tr>
        <w:tc>
          <w:tcPr>
            <w:tcMar>
              <w:top w:w="80" w:type="dxa"/>
              <w:bottom w:w="80" w:type="dxa"/>
              <w:start w:w="60" w:type="dxa"/>
              <w:end w:w="60" w:type="dxa"/>
            </w:tcMar>
          </w:tcPr>
          <w:p>
            <w:pPr>
              <w:pStyle w:val="Paragraph"/>
              <w:jc w:val="left"/>
              <w:spacing w:line="0" w:lineRule="atLeast"/>
            </w:pPr>
            <w:r>
              <w:rPr>
                <w:rStyle w:val="Strong"/>
              </w:rPr>
              <w:t xml:space="preserve">Director</w:t>
            </w:r>
          </w:p>
        </w:tc>
        <w:tc>
          <w:tcPr>
            <w:tcMar>
              <w:top w:w="80" w:type="dxa"/>
              <w:bottom w:w="80" w:type="dxa"/>
              <w:start w:w="60" w:type="dxa"/>
              <w:end w:w="60" w:type="dxa"/>
            </w:tcMar>
          </w:tcPr>
          <w:p>
            <w:pPr>
              <w:pStyle w:val="Paragraph"/>
              <w:jc w:val="left"/>
              <w:spacing w:line="0" w:lineRule="atLeast"/>
            </w:pPr>
            <w:r>
              <w:t xml:space="preserve">A person appointed or elected to the Board of the Company in accordance with this Memorandum of Incorporation.</w:t>
            </w:r>
          </w:p>
        </w:tc>
      </w:tr>
      <w:tr>
        <w:tc>
          <w:tcPr>
            <w:tcMar>
              <w:top w:w="80" w:type="dxa"/>
              <w:bottom w:w="80" w:type="dxa"/>
              <w:start w:w="60" w:type="dxa"/>
              <w:end w:w="60" w:type="dxa"/>
            </w:tcMar>
          </w:tcPr>
          <w:p>
            <w:pPr>
              <w:pStyle w:val="Paragraph"/>
              <w:jc w:val="left"/>
              <w:spacing w:line="0" w:lineRule="atLeast"/>
            </w:pPr>
            <w:r>
              <w:rPr>
                <w:rStyle w:val="Strong"/>
              </w:rPr>
              <w:t xml:space="preserve">Board</w:t>
            </w:r>
          </w:p>
        </w:tc>
        <w:tc>
          <w:tcPr>
            <w:tcMar>
              <w:top w:w="80" w:type="dxa"/>
              <w:bottom w:w="80" w:type="dxa"/>
              <w:start w:w="60" w:type="dxa"/>
              <w:end w:w="60" w:type="dxa"/>
            </w:tcMar>
          </w:tcPr>
          <w:p>
            <w:pPr>
              <w:pStyle w:val="Paragraph"/>
              <w:jc w:val="left"/>
              <w:spacing w:line="0" w:lineRule="atLeast"/>
            </w:pPr>
            <w:r>
              <w:t xml:space="preserve">The board of Directors of the Company, as constituted from time to time.</w:t>
            </w:r>
          </w:p>
        </w:tc>
      </w:tr>
      <w:tr>
        <w:tc>
          <w:tcPr>
            <w:tcMar>
              <w:top w:w="80" w:type="dxa"/>
              <w:bottom w:w="80" w:type="dxa"/>
              <w:start w:w="60" w:type="dxa"/>
              <w:end w:w="60" w:type="dxa"/>
            </w:tcMar>
          </w:tcPr>
          <w:p>
            <w:pPr>
              <w:pStyle w:val="Paragraph"/>
              <w:jc w:val="left"/>
              <w:spacing w:line="0" w:lineRule="atLeast"/>
            </w:pPr>
            <w:r>
              <w:rPr>
                <w:rStyle w:val="Strong"/>
              </w:rPr>
              <w:t xml:space="preserve">National Member</w:t>
            </w:r>
          </w:p>
        </w:tc>
        <w:tc>
          <w:tcPr>
            <w:tcMar>
              <w:top w:w="80" w:type="dxa"/>
              <w:bottom w:w="80" w:type="dxa"/>
              <w:start w:w="60" w:type="dxa"/>
              <w:end w:w="60" w:type="dxa"/>
            </w:tcMar>
          </w:tcPr>
          <w:p>
            <w:pPr>
              <w:pStyle w:val="Paragraph"/>
              <w:jc w:val="left"/>
              <w:spacing w:line="0" w:lineRule="atLeast"/>
            </w:pPr>
            <w:r>
              <w:t xml:space="preserve">A person recognised by the Company for purposes of participation in SAHPA-governed recreational aviation activities, in accordance with subordinate governance instruments.</w:t>
            </w:r>
          </w:p>
        </w:tc>
      </w:tr>
      <w:tr>
        <w:tc>
          <w:tcPr>
            <w:tcMar>
              <w:top w:w="80" w:type="dxa"/>
              <w:bottom w:w="80" w:type="dxa"/>
              <w:start w:w="60" w:type="dxa"/>
              <w:end w:w="60" w:type="dxa"/>
            </w:tcMar>
          </w:tcPr>
          <w:p>
            <w:pPr>
              <w:pStyle w:val="Paragraph"/>
              <w:jc w:val="left"/>
              <w:spacing w:line="0" w:lineRule="atLeast"/>
            </w:pPr>
            <w:r>
              <w:rPr>
                <w:rStyle w:val="Strong"/>
              </w:rPr>
              <w:t xml:space="preserve">Participation</w:t>
            </w:r>
          </w:p>
        </w:tc>
        <w:tc>
          <w:tcPr>
            <w:tcMar>
              <w:top w:w="80" w:type="dxa"/>
              <w:bottom w:w="80" w:type="dxa"/>
              <w:start w:w="60" w:type="dxa"/>
              <w:end w:w="60" w:type="dxa"/>
            </w:tcMar>
          </w:tcPr>
          <w:p>
            <w:pPr>
              <w:pStyle w:val="Paragraph"/>
              <w:jc w:val="left"/>
              <w:spacing w:line="0" w:lineRule="atLeast"/>
            </w:pPr>
            <w:r>
              <w:t xml:space="preserve">Recognition by the Company of a person’s eligibility to engage in SAHPA-governed recreational aviation activities, subject to applicable rules and conditions.</w:t>
            </w:r>
          </w:p>
        </w:tc>
      </w:tr>
      <w:tr>
        <w:tc>
          <w:tcPr>
            <w:tcMar>
              <w:top w:w="80" w:type="dxa"/>
              <w:bottom w:w="80" w:type="dxa"/>
              <w:start w:w="60" w:type="dxa"/>
              <w:end w:w="60" w:type="dxa"/>
            </w:tcMar>
          </w:tcPr>
          <w:p>
            <w:pPr>
              <w:pStyle w:val="Paragraph"/>
              <w:jc w:val="left"/>
              <w:spacing w:line="0" w:lineRule="atLeast"/>
            </w:pPr>
            <w:r>
              <w:rPr>
                <w:rStyle w:val="Strong"/>
              </w:rPr>
              <w:t xml:space="preserve">Participation Recognition</w:t>
            </w:r>
          </w:p>
        </w:tc>
        <w:tc>
          <w:tcPr>
            <w:tcMar>
              <w:top w:w="80" w:type="dxa"/>
              <w:bottom w:w="80" w:type="dxa"/>
              <w:start w:w="60" w:type="dxa"/>
              <w:end w:w="60" w:type="dxa"/>
            </w:tcMar>
          </w:tcPr>
          <w:p>
            <w:pPr>
              <w:pStyle w:val="Paragraph"/>
              <w:jc w:val="left"/>
              <w:spacing w:line="0" w:lineRule="atLeast"/>
            </w:pPr>
            <w:r>
              <w:t xml:space="preserve">The formal status conferred by the Company acknowledging a person’s eligibility to participate in SAHPA-governed activities; such recognition does not constitute company membership.</w:t>
            </w:r>
          </w:p>
        </w:tc>
      </w:tr>
      <w:tr>
        <w:tc>
          <w:tcPr>
            <w:tcMar>
              <w:top w:w="80" w:type="dxa"/>
              <w:bottom w:w="80" w:type="dxa"/>
              <w:start w:w="60" w:type="dxa"/>
              <w:end w:w="60" w:type="dxa"/>
            </w:tcMar>
          </w:tcPr>
          <w:p>
            <w:pPr>
              <w:pStyle w:val="Paragraph"/>
              <w:jc w:val="left"/>
              <w:spacing w:line="0" w:lineRule="atLeast"/>
            </w:pPr>
            <w:r>
              <w:rPr>
                <w:rStyle w:val="Strong"/>
              </w:rPr>
              <w:t xml:space="preserve">General Meeting</w:t>
            </w:r>
          </w:p>
        </w:tc>
        <w:tc>
          <w:tcPr>
            <w:tcMar>
              <w:top w:w="80" w:type="dxa"/>
              <w:bottom w:w="80" w:type="dxa"/>
              <w:start w:w="60" w:type="dxa"/>
              <w:end w:w="60" w:type="dxa"/>
            </w:tcMar>
          </w:tcPr>
          <w:p>
            <w:pPr>
              <w:pStyle w:val="Paragraph"/>
              <w:jc w:val="left"/>
              <w:spacing w:line="0" w:lineRule="atLeast"/>
            </w:pPr>
            <w:r>
              <w:t xml:space="preserve">A meeting convened in accordance with the Companies Act and this Memorandum, including an annual general meeting.</w:t>
            </w:r>
          </w:p>
        </w:tc>
      </w:tr>
      <w:tr>
        <w:tc>
          <w:tcPr>
            <w:tcMar>
              <w:top w:w="80" w:type="dxa"/>
              <w:bottom w:w="80" w:type="dxa"/>
              <w:start w:w="60" w:type="dxa"/>
              <w:end w:w="60" w:type="dxa"/>
            </w:tcMar>
          </w:tcPr>
          <w:p>
            <w:pPr>
              <w:pStyle w:val="Paragraph"/>
              <w:jc w:val="left"/>
              <w:spacing w:line="0" w:lineRule="atLeast"/>
            </w:pPr>
            <w:r>
              <w:rPr>
                <w:rStyle w:val="Strong"/>
              </w:rPr>
              <w:t xml:space="preserve">Voting Entitlement</w:t>
            </w:r>
          </w:p>
        </w:tc>
        <w:tc>
          <w:tcPr>
            <w:tcMar>
              <w:top w:w="80" w:type="dxa"/>
              <w:bottom w:w="80" w:type="dxa"/>
              <w:start w:w="60" w:type="dxa"/>
              <w:end w:w="60" w:type="dxa"/>
            </w:tcMar>
          </w:tcPr>
          <w:p>
            <w:pPr>
              <w:pStyle w:val="Paragraph"/>
              <w:jc w:val="left"/>
              <w:spacing w:line="0" w:lineRule="atLeast"/>
            </w:pPr>
            <w:r>
              <w:t xml:space="preserve">The limited right conferred by this Memorandum on eligible National Members to vote solely on the election and removal of Directors, which does not constitute membership of the Company for purposes of the Companies Act.</w:t>
            </w:r>
          </w:p>
        </w:tc>
      </w:tr>
      <w:tr>
        <w:tc>
          <w:tcPr>
            <w:tcMar>
              <w:top w:w="80" w:type="dxa"/>
              <w:bottom w:w="80" w:type="dxa"/>
              <w:start w:w="60" w:type="dxa"/>
              <w:end w:w="60" w:type="dxa"/>
            </w:tcMar>
          </w:tcPr>
          <w:p>
            <w:pPr>
              <w:pStyle w:val="Paragraph"/>
              <w:jc w:val="left"/>
              <w:spacing w:line="0" w:lineRule="atLeast"/>
            </w:pPr>
            <w:r>
              <w:rPr>
                <w:rStyle w:val="Strong"/>
              </w:rPr>
              <w:t xml:space="preserve">Fit and Proper</w:t>
            </w:r>
          </w:p>
        </w:tc>
        <w:tc>
          <w:tcPr>
            <w:tcMar>
              <w:top w:w="80" w:type="dxa"/>
              <w:bottom w:w="80" w:type="dxa"/>
              <w:start w:w="60" w:type="dxa"/>
              <w:end w:w="60" w:type="dxa"/>
            </w:tcMar>
          </w:tcPr>
          <w:p>
            <w:pPr>
              <w:pStyle w:val="Paragraph"/>
              <w:jc w:val="left"/>
              <w:spacing w:line="0" w:lineRule="atLeast"/>
            </w:pPr>
            <w:r>
              <w:t xml:space="preserve">Suitable, competent, and of good standing to hold office as a Director, having regard to integrity, capability, and the responsibilities of governance in a safety-critical environment.</w:t>
            </w:r>
          </w:p>
        </w:tc>
      </w:tr>
      <w:tr>
        <w:tc>
          <w:tcPr>
            <w:tcMar>
              <w:top w:w="80" w:type="dxa"/>
              <w:bottom w:w="80" w:type="dxa"/>
              <w:start w:w="60" w:type="dxa"/>
              <w:end w:w="60" w:type="dxa"/>
            </w:tcMar>
          </w:tcPr>
          <w:p>
            <w:pPr>
              <w:pStyle w:val="Paragraph"/>
              <w:jc w:val="left"/>
              <w:spacing w:line="0" w:lineRule="atLeast"/>
            </w:pPr>
            <w:r>
              <w:rPr>
                <w:rStyle w:val="Strong"/>
              </w:rPr>
              <w:t xml:space="preserve">Oversight</w:t>
            </w:r>
          </w:p>
        </w:tc>
        <w:tc>
          <w:tcPr>
            <w:tcMar>
              <w:top w:w="80" w:type="dxa"/>
              <w:bottom w:w="80" w:type="dxa"/>
              <w:start w:w="60" w:type="dxa"/>
              <w:end w:w="60" w:type="dxa"/>
            </w:tcMar>
          </w:tcPr>
          <w:p>
            <w:pPr>
              <w:pStyle w:val="Paragraph"/>
              <w:jc w:val="left"/>
              <w:spacing w:line="0" w:lineRule="atLeast"/>
            </w:pPr>
            <w:r>
              <w:t xml:space="preserve">The governance and monitoring functions exercised by the Company in terms of its approved status under Part 149 of the Civil Aviation Regulations, excluding regulatory or licensing authority.</w:t>
            </w:r>
          </w:p>
        </w:tc>
      </w:tr>
      <w:tr>
        <w:tc>
          <w:tcPr>
            <w:tcMar>
              <w:top w:w="80" w:type="dxa"/>
              <w:bottom w:w="80" w:type="dxa"/>
              <w:start w:w="60" w:type="dxa"/>
              <w:end w:w="60" w:type="dxa"/>
            </w:tcMar>
          </w:tcPr>
          <w:p>
            <w:pPr>
              <w:pStyle w:val="Paragraph"/>
              <w:jc w:val="left"/>
              <w:spacing w:line="0" w:lineRule="atLeast"/>
            </w:pPr>
            <w:r>
              <w:rPr>
                <w:rStyle w:val="Strong"/>
              </w:rPr>
              <w:t xml:space="preserve">Subordinate Governance Instruments</w:t>
            </w:r>
          </w:p>
        </w:tc>
        <w:tc>
          <w:tcPr>
            <w:tcMar>
              <w:top w:w="80" w:type="dxa"/>
              <w:bottom w:w="80" w:type="dxa"/>
              <w:start w:w="60" w:type="dxa"/>
              <w:end w:w="60" w:type="dxa"/>
            </w:tcMar>
          </w:tcPr>
          <w:p>
            <w:pPr>
              <w:pStyle w:val="Paragraph"/>
              <w:jc w:val="left"/>
              <w:spacing w:line="0" w:lineRule="atLeast"/>
            </w:pPr>
            <w:r>
              <w:t xml:space="preserve">Any policy, operations manual, procedure, rule, or code adopted by the Company pursuant to this Memorandum.</w:t>
            </w:r>
          </w:p>
        </w:tc>
      </w:tr>
    </w:tbl>
    <w:p>
      <w:pPr>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3" w:type="default"/>
        </w:sectPr>
      </w:pPr>
    </w:p>
    <w:p>
      <w:pPr>
        <w:pStyle w:val="Heading 2"/>
        <w:spacing w:before="300" w:after="200"/>
        <w:outlineLvl w:val="1"/>
      </w:pPr>
      <w:r>
        <w:t xml:space="preserve">ANNEXURE A - SAHPA DIRECTOR ELECTION RULES</w:t>
      </w:r>
    </w:p>
    <w:p>
      <w:pPr>
        <w:pStyle w:val="Heading 3"/>
        <w:spacing w:before="300" w:after="100"/>
        <w:outlineLvl w:val="2"/>
      </w:pPr>
      <w:r>
        <w:t xml:space="preserve">1. Purpose and Status</w:t>
      </w:r>
    </w:p>
    <w:p>
      <w:pPr>
        <w:pStyle w:val="Paragraph"/>
        <w:ind w:start="240"/>
        <w:spacing w:before="120" w:after="60"/>
      </w:pPr>
      <w:r>
        <w:t xml:space="preserve">1.1 These Election Rules regulate the process for the election and removal of Directors of the South African Hang Gliding and Paragliding Association NPC (“SAHPA”).</w:t>
      </w:r>
    </w:p>
    <w:p>
      <w:pPr>
        <w:pStyle w:val="Paragraph"/>
        <w:ind w:start="240"/>
        <w:spacing w:before="120" w:after="60"/>
      </w:pPr>
      <w:r>
        <w:t xml:space="preserve">1.2 These Rules are subordinate to the Memorandum of Incorporation (“MOI”) and do not create rights or powers beyond those expressly conferred by the MOI.</w:t>
      </w:r>
    </w:p>
    <w:p>
      <w:pPr>
        <w:pStyle w:val="Paragraph"/>
        <w:ind w:start="240"/>
        <w:spacing w:before="120" w:after="60"/>
      </w:pPr>
      <w:r>
        <w:t xml:space="preserve">1.3 In the event of conflict between these Rules and the MOI, the MOI prevails.</w:t>
      </w:r>
    </w:p>
    <w:p>
      <w:pPr>
        <w:pStyle w:val="Heading 3"/>
        <w:spacing w:before="300" w:after="100"/>
        <w:outlineLvl w:val="2"/>
      </w:pPr>
      <w:r>
        <w:t xml:space="preserve">2. Scope of Voting Rights</w:t>
      </w:r>
    </w:p>
    <w:p>
      <w:pPr>
        <w:pStyle w:val="Paragraph"/>
        <w:ind w:start="240"/>
        <w:spacing w:before="120" w:after="60"/>
      </w:pPr>
      <w:r>
        <w:t xml:space="preserve">2.1 Voting rights under these Rules are limited strictly to:</w:t>
      </w:r>
    </w:p>
    <w:p>
      <w:pPr>
        <w:pStyle w:val="Dashed List"/>
        <w:numPr>
          <w:ilvl w:val="0"/>
          <w:numId w:val="11"/>
        </w:numPr>
        <w:spacing w:before="20" w:after="12"/>
      </w:pPr>
      <w:r>
        <w:t xml:space="preserve">the election of Directors; and</w:t>
      </w:r>
    </w:p>
    <w:p>
      <w:pPr>
        <w:pStyle w:val="Dashed List"/>
        <w:numPr>
          <w:ilvl w:val="0"/>
          <w:numId w:val="11"/>
        </w:numPr>
        <w:spacing w:after="100"/>
      </w:pPr>
      <w:r>
        <w:t xml:space="preserve">the removal of Directors.</w:t>
      </w:r>
    </w:p>
    <w:p>
      <w:pPr>
        <w:pStyle w:val="Paragraph"/>
        <w:ind w:start="240"/>
        <w:spacing w:before="120" w:after="60"/>
      </w:pPr>
      <w:r>
        <w:t xml:space="preserve">2.2 No voting rights exist under these Rules in respect of:</w:t>
      </w:r>
    </w:p>
    <w:p>
      <w:pPr>
        <w:pStyle w:val="Dashed List"/>
        <w:numPr>
          <w:ilvl w:val="0"/>
          <w:numId w:val="12"/>
        </w:numPr>
        <w:spacing w:before="20" w:after="12"/>
      </w:pPr>
      <w:r>
        <w:t xml:space="preserve">amendments to the MOI;</w:t>
      </w:r>
    </w:p>
    <w:p>
      <w:pPr>
        <w:pStyle w:val="Dashed List"/>
        <w:numPr>
          <w:ilvl w:val="0"/>
          <w:numId w:val="12"/>
        </w:numPr>
        <w:spacing w:after="12"/>
      </w:pPr>
      <w:r>
        <w:t xml:space="preserve">approval of special resolutions;</w:t>
      </w:r>
    </w:p>
    <w:p>
      <w:pPr>
        <w:pStyle w:val="Dashed List"/>
        <w:numPr>
          <w:ilvl w:val="0"/>
          <w:numId w:val="12"/>
        </w:numPr>
        <w:spacing w:after="12"/>
      </w:pPr>
      <w:r>
        <w:t xml:space="preserve">operational, regulatory, or policy matters;</w:t>
      </w:r>
    </w:p>
    <w:p>
      <w:pPr>
        <w:pStyle w:val="Dashed List"/>
        <w:numPr>
          <w:ilvl w:val="0"/>
          <w:numId w:val="12"/>
        </w:numPr>
        <w:spacing w:after="100"/>
      </w:pPr>
      <w:r>
        <w:t xml:space="preserve">financial or budgetary decisions.</w:t>
      </w:r>
    </w:p>
    <w:p>
      <w:pPr>
        <w:pStyle w:val="Paragraph"/>
        <w:ind w:start="240"/>
        <w:spacing w:before="120" w:after="60"/>
      </w:pPr>
      <w:r>
        <w:t xml:space="preserve">2.3 Voting rights do not constitute membership of the Company for purposes of the Companies Act and confer no proprietary, economic, or residual interest in SAHPA.</w:t>
      </w:r>
    </w:p>
    <w:p>
      <w:pPr>
        <w:pStyle w:val="Heading 3"/>
        <w:spacing w:before="300" w:after="100"/>
        <w:outlineLvl w:val="2"/>
      </w:pPr>
      <w:r>
        <w:t xml:space="preserve">3. Eligibility to Vote</w:t>
      </w:r>
    </w:p>
    <w:p>
      <w:pPr>
        <w:pStyle w:val="Paragraph"/>
        <w:ind w:start="240"/>
        <w:spacing w:before="120" w:after="60"/>
      </w:pPr>
      <w:r>
        <w:t xml:space="preserve">3.1 A person is eligible to vote if, at the voting cut-off date:</w:t>
      </w:r>
    </w:p>
    <w:p>
      <w:pPr>
        <w:pStyle w:val="Dashed List"/>
        <w:numPr>
          <w:ilvl w:val="0"/>
          <w:numId w:val="13"/>
        </w:numPr>
        <w:spacing w:before="20" w:after="12"/>
      </w:pPr>
      <w:r>
        <w:t xml:space="preserve">they are recognised by SAHPA as a National Member for participation purposes;</w:t>
      </w:r>
    </w:p>
    <w:p>
      <w:pPr>
        <w:pStyle w:val="Dashed List"/>
        <w:numPr>
          <w:ilvl w:val="0"/>
          <w:numId w:val="13"/>
        </w:numPr>
        <w:spacing w:after="12"/>
      </w:pPr>
      <w:r>
        <w:t xml:space="preserve">they are in good standing in terms of applicable governance instruments; and</w:t>
      </w:r>
    </w:p>
    <w:p>
      <w:pPr>
        <w:pStyle w:val="Dashed List"/>
        <w:numPr>
          <w:ilvl w:val="0"/>
          <w:numId w:val="13"/>
        </w:numPr>
        <w:spacing w:after="100"/>
      </w:pPr>
      <w:r>
        <w:t xml:space="preserve">they are not subject to suspension of participation privileges.</w:t>
      </w:r>
    </w:p>
    <w:p>
      <w:pPr>
        <w:pStyle w:val="Paragraph"/>
        <w:ind w:start="240"/>
        <w:spacing w:before="120" w:after="60"/>
      </w:pPr>
      <w:r>
        <w:t xml:space="preserve">3.2 The Board shall publish the voting cut-off date not less than thirty (30) days prior to the election.</w:t>
      </w:r>
    </w:p>
    <w:p>
      <w:pPr>
        <w:pStyle w:val="Paragraph"/>
        <w:ind w:start="240"/>
        <w:spacing w:before="120" w:after="60"/>
      </w:pPr>
      <w:r>
        <w:t xml:space="preserve">3.3 Eligibility disputes shall be determined by the Accountable and Compliance Manager, whose decision shall be final for purposes of the election.</w:t>
      </w:r>
    </w:p>
    <w:p>
      <w:pPr>
        <w:pStyle w:val="Heading 3"/>
        <w:spacing w:before="300" w:after="100"/>
        <w:outlineLvl w:val="2"/>
      </w:pPr>
      <w:r>
        <w:t xml:space="preserve">4. Eligibility to Stand for Election</w:t>
      </w:r>
    </w:p>
    <w:p>
      <w:pPr>
        <w:pStyle w:val="Paragraph"/>
        <w:ind w:start="240"/>
        <w:spacing w:before="120" w:after="60"/>
      </w:pPr>
      <w:r>
        <w:t xml:space="preserve">4.1 A candidate for election as a Director must:</w:t>
      </w:r>
    </w:p>
    <w:p>
      <w:pPr>
        <w:pStyle w:val="Dashed List"/>
        <w:numPr>
          <w:ilvl w:val="0"/>
          <w:numId w:val="14"/>
        </w:numPr>
        <w:spacing w:before="20" w:after="12"/>
      </w:pPr>
      <w:r>
        <w:t xml:space="preserve">meet the eligibility requirements set out in the MOI;</w:t>
      </w:r>
    </w:p>
    <w:p>
      <w:pPr>
        <w:pStyle w:val="Dashed List"/>
        <w:numPr>
          <w:ilvl w:val="0"/>
          <w:numId w:val="14"/>
        </w:numPr>
        <w:spacing w:after="12"/>
      </w:pPr>
      <w:r>
        <w:t xml:space="preserve">be a fit and proper person;</w:t>
      </w:r>
    </w:p>
    <w:p>
      <w:pPr>
        <w:pStyle w:val="Dashed List"/>
        <w:numPr>
          <w:ilvl w:val="0"/>
          <w:numId w:val="14"/>
        </w:numPr>
        <w:spacing w:after="12"/>
      </w:pPr>
      <w:r>
        <w:t xml:space="preserve">not be disqualified under the Companies Act or any other applicable law; and</w:t>
      </w:r>
    </w:p>
    <w:p>
      <w:pPr>
        <w:pStyle w:val="Dashed List"/>
        <w:numPr>
          <w:ilvl w:val="0"/>
          <w:numId w:val="14"/>
        </w:numPr>
        <w:spacing w:after="100"/>
      </w:pPr>
      <w:r>
        <w:t xml:space="preserve">consent in writing to stand for election.</w:t>
      </w:r>
    </w:p>
    <w:p>
      <w:pPr>
        <w:pStyle w:val="Paragraph"/>
        <w:ind w:start="240"/>
        <w:spacing w:before="120" w:after="60"/>
      </w:pPr>
      <w:r>
        <w:t xml:space="preserve">4.2 The Board may require candidates to submit declarations relating to:</w:t>
      </w:r>
    </w:p>
    <w:p>
      <w:pPr>
        <w:pStyle w:val="Dashed List"/>
        <w:numPr>
          <w:ilvl w:val="0"/>
          <w:numId w:val="15"/>
        </w:numPr>
        <w:spacing w:before="20" w:after="12"/>
      </w:pPr>
      <w:r>
        <w:t xml:space="preserve">conflicts of interest;</w:t>
      </w:r>
    </w:p>
    <w:p>
      <w:pPr>
        <w:pStyle w:val="Dashed List"/>
        <w:numPr>
          <w:ilvl w:val="0"/>
          <w:numId w:val="15"/>
        </w:numPr>
        <w:spacing w:after="12"/>
      </w:pPr>
      <w:r>
        <w:t xml:space="preserve">relevant experience and competencies; and</w:t>
      </w:r>
    </w:p>
    <w:p>
      <w:pPr>
        <w:pStyle w:val="Dashed List"/>
        <w:numPr>
          <w:ilvl w:val="0"/>
          <w:numId w:val="15"/>
        </w:numPr>
        <w:spacing w:after="100"/>
      </w:pPr>
      <w:r>
        <w:t xml:space="preserve">compliance with governance and safety principles.</w:t>
      </w:r>
    </w:p>
    <w:p>
      <w:pPr>
        <w:pStyle w:val="Paragraph"/>
        <w:ind w:start="240"/>
        <w:spacing w:before="120" w:after="60"/>
      </w:pPr>
      <w:r>
        <w:t xml:space="preserve">4.3 No person has an automatic right to be nominated or elected.</w:t>
      </w:r>
    </w:p>
    <w:p>
      <w:pPr>
        <w:pStyle w:val="Heading 3"/>
        <w:spacing w:before="300" w:after="100"/>
        <w:outlineLvl w:val="2"/>
      </w:pPr>
      <w:r>
        <w:t xml:space="preserve">5. Nomination Process</w:t>
      </w:r>
    </w:p>
    <w:p>
      <w:pPr>
        <w:pStyle w:val="Paragraph"/>
        <w:ind w:start="240"/>
        <w:spacing w:before="120" w:after="60"/>
      </w:pPr>
      <w:r>
        <w:t xml:space="preserve">5.1 Nominations shall be opened by the Board at least twenty-one (21) days prior to the election.</w:t>
      </w:r>
    </w:p>
    <w:p>
      <w:pPr>
        <w:pStyle w:val="Paragraph"/>
        <w:ind w:start="240"/>
        <w:spacing w:before="120" w:after="60"/>
      </w:pPr>
      <w:r>
        <w:t xml:space="preserve">5.2 Nominations must:</w:t>
      </w:r>
    </w:p>
    <w:p>
      <w:pPr>
        <w:pStyle w:val="Dashed List"/>
        <w:numPr>
          <w:ilvl w:val="0"/>
          <w:numId w:val="16"/>
        </w:numPr>
        <w:spacing w:before="20" w:after="12"/>
      </w:pPr>
      <w:r>
        <w:t xml:space="preserve">be submitted in writing;</w:t>
      </w:r>
    </w:p>
    <w:p>
      <w:pPr>
        <w:pStyle w:val="Dashed List"/>
        <w:numPr>
          <w:ilvl w:val="0"/>
          <w:numId w:val="16"/>
        </w:numPr>
        <w:spacing w:after="12"/>
      </w:pPr>
      <w:r>
        <w:t xml:space="preserve">be supported by at least one eligible voter; and</w:t>
      </w:r>
    </w:p>
    <w:p>
      <w:pPr>
        <w:pStyle w:val="Dashed List"/>
        <w:numPr>
          <w:ilvl w:val="0"/>
          <w:numId w:val="16"/>
        </w:numPr>
        <w:spacing w:after="100"/>
      </w:pPr>
      <w:r>
        <w:t xml:space="preserve">include the candidate’s written consent.</w:t>
      </w:r>
    </w:p>
    <w:p>
      <w:pPr>
        <w:pStyle w:val="Paragraph"/>
        <w:ind w:start="240"/>
        <w:spacing w:before="120" w:after="60"/>
      </w:pPr>
      <w:r>
        <w:t xml:space="preserve">5.3 The Board may reject a nomination that does not comply with these Rules or the MOI, provided reasons are recorded.</w:t>
      </w:r>
    </w:p>
    <w:p>
      <w:pPr>
        <w:pStyle w:val="Heading 3"/>
        <w:spacing w:before="300" w:after="100"/>
        <w:outlineLvl w:val="2"/>
      </w:pPr>
      <w:r>
        <w:t xml:space="preserve">6. Election Method</w:t>
      </w:r>
    </w:p>
    <w:p>
      <w:pPr>
        <w:pStyle w:val="Paragraph"/>
        <w:ind w:start="240"/>
        <w:spacing w:before="120" w:after="60"/>
      </w:pPr>
      <w:r>
        <w:t xml:space="preserve">6.1 Elections shall be conducted:</w:t>
      </w:r>
    </w:p>
    <w:p>
      <w:pPr>
        <w:pStyle w:val="Dashed List"/>
        <w:numPr>
          <w:ilvl w:val="0"/>
          <w:numId w:val="17"/>
        </w:numPr>
        <w:spacing w:before="20" w:after="12"/>
      </w:pPr>
      <w:r>
        <w:t xml:space="preserve">at an annual general meeting; or</w:t>
      </w:r>
    </w:p>
    <w:p>
      <w:pPr>
        <w:pStyle w:val="Dashed List"/>
        <w:numPr>
          <w:ilvl w:val="0"/>
          <w:numId w:val="17"/>
        </w:numPr>
        <w:spacing w:after="100"/>
      </w:pPr>
      <w:r>
        <w:t xml:space="preserve">by electronic or remote means authorised by the Board.</w:t>
      </w:r>
    </w:p>
    <w:p>
      <w:pPr>
        <w:pStyle w:val="Paragraph"/>
        <w:ind w:start="240"/>
        <w:spacing w:before="120" w:after="60"/>
      </w:pPr>
      <w:r>
        <w:t xml:space="preserve">6.2 Each eligible voter shall have one vote per vacant director position, unless otherwise determined by the MOI.</w:t>
      </w:r>
    </w:p>
    <w:p>
      <w:pPr>
        <w:pStyle w:val="Paragraph"/>
        <w:ind w:start="240"/>
        <w:spacing w:before="120" w:after="60"/>
      </w:pPr>
      <w:r>
        <w:t xml:space="preserve">6.3 Directors shall be elected by ordinary resolution.</w:t>
      </w:r>
    </w:p>
    <w:p>
      <w:pPr>
        <w:pStyle w:val="Paragraph"/>
        <w:ind w:start="240"/>
        <w:spacing w:before="120" w:after="60"/>
      </w:pPr>
      <w:r>
        <w:t xml:space="preserve">6.4 The method of counting votes shall be determined by the Board and disclosed in advance.</w:t>
      </w:r>
    </w:p>
    <w:p>
      <w:pPr>
        <w:pStyle w:val="Heading 3"/>
        <w:spacing w:before="300" w:after="100"/>
        <w:outlineLvl w:val="2"/>
      </w:pPr>
      <w:r>
        <w:t xml:space="preserve">7. Term of Office and Staggering</w:t>
      </w:r>
    </w:p>
    <w:p>
      <w:pPr>
        <w:pStyle w:val="Paragraph"/>
        <w:ind w:start="240"/>
        <w:spacing w:before="120" w:after="60"/>
      </w:pPr>
      <w:r>
        <w:t xml:space="preserve">7.1 Directors shall serve for the term specified in the MOI.</w:t>
      </w:r>
    </w:p>
    <w:p>
      <w:pPr>
        <w:pStyle w:val="Paragraph"/>
        <w:ind w:start="240"/>
        <w:spacing w:before="120" w:after="60"/>
      </w:pPr>
      <w:r>
        <w:t xml:space="preserve">7.2 To promote continuity, the Board may implement staggered terms, provided that:</w:t>
      </w:r>
    </w:p>
    <w:p>
      <w:pPr>
        <w:pStyle w:val="Dashed List"/>
        <w:numPr>
          <w:ilvl w:val="0"/>
          <w:numId w:val="18"/>
        </w:numPr>
        <w:spacing w:before="20" w:after="12"/>
      </w:pPr>
      <w:r>
        <w:t xml:space="preserve">the principle is disclosed in advance; and</w:t>
      </w:r>
    </w:p>
    <w:p>
      <w:pPr>
        <w:pStyle w:val="Dashed List"/>
        <w:numPr>
          <w:ilvl w:val="0"/>
          <w:numId w:val="18"/>
        </w:numPr>
        <w:spacing w:after="100"/>
      </w:pPr>
      <w:r>
        <w:t xml:space="preserve">no Director’s term is extended without an election.</w:t>
      </w:r>
    </w:p>
    <w:p>
      <w:pPr>
        <w:pStyle w:val="Heading 3"/>
        <w:spacing w:before="300" w:after="100"/>
        <w:outlineLvl w:val="2"/>
      </w:pPr>
      <w:r>
        <w:t xml:space="preserve">8. Casual Vacancies</w:t>
      </w:r>
    </w:p>
    <w:p>
      <w:pPr>
        <w:pStyle w:val="Paragraph"/>
        <w:ind w:start="240"/>
        <w:spacing w:before="120" w:after="60"/>
      </w:pPr>
      <w:r>
        <w:t xml:space="preserve">8.1 The Board may appoint a Director to fill a casual vacancy until the next election.</w:t>
      </w:r>
    </w:p>
    <w:p>
      <w:pPr>
        <w:pStyle w:val="Paragraph"/>
        <w:ind w:start="240"/>
        <w:spacing w:before="120" w:after="60"/>
      </w:pPr>
      <w:r>
        <w:t xml:space="preserve">8.2 A Director appointed under clause 8.1 must stand for election at the next general meeting if they wish to continue in office.</w:t>
      </w:r>
    </w:p>
    <w:p>
      <w:pPr>
        <w:pStyle w:val="Heading 3"/>
        <w:spacing w:before="300" w:after="100"/>
        <w:outlineLvl w:val="2"/>
      </w:pPr>
      <w:r>
        <w:t xml:space="preserve">9. Removal of Directors</w:t>
      </w:r>
    </w:p>
    <w:p>
      <w:pPr>
        <w:pStyle w:val="Paragraph"/>
        <w:ind w:start="240"/>
        <w:spacing w:before="120" w:after="60"/>
      </w:pPr>
      <w:r>
        <w:t xml:space="preserve">9.1 A Director may be removed by ordinary resolution of eligible voters at a general meeting, in accordance with the MOI.</w:t>
      </w:r>
    </w:p>
    <w:p>
      <w:pPr>
        <w:pStyle w:val="Paragraph"/>
        <w:ind w:start="240"/>
        <w:spacing w:before="120" w:after="60"/>
      </w:pPr>
      <w:r>
        <w:t xml:space="preserve">9.2 The affected Director must be afforded:</w:t>
      </w:r>
    </w:p>
    <w:p>
      <w:pPr>
        <w:pStyle w:val="Dashed List"/>
        <w:numPr>
          <w:ilvl w:val="0"/>
          <w:numId w:val="19"/>
        </w:numPr>
        <w:spacing w:before="20" w:after="12"/>
      </w:pPr>
      <w:r>
        <w:t xml:space="preserve">reasonable notice; and</w:t>
      </w:r>
    </w:p>
    <w:p>
      <w:pPr>
        <w:pStyle w:val="Dashed List"/>
        <w:numPr>
          <w:ilvl w:val="0"/>
          <w:numId w:val="19"/>
        </w:numPr>
        <w:spacing w:after="100"/>
      </w:pPr>
      <w:r>
        <w:t xml:space="preserve">an opportunity to make representations.</w:t>
      </w:r>
    </w:p>
    <w:p>
      <w:pPr>
        <w:pStyle w:val="Heading 3"/>
        <w:spacing w:before="300" w:after="100"/>
        <w:outlineLvl w:val="2"/>
      </w:pPr>
      <w:r>
        <w:t xml:space="preserve">10. Conduct and Campaigning</w:t>
      </w:r>
    </w:p>
    <w:p>
      <w:pPr>
        <w:pStyle w:val="Paragraph"/>
        <w:ind w:start="240"/>
        <w:spacing w:before="120" w:after="60"/>
      </w:pPr>
      <w:r>
        <w:t xml:space="preserve">10.1 Elections shall be conducted in a manner that is:</w:t>
      </w:r>
    </w:p>
    <w:p>
      <w:pPr>
        <w:pStyle w:val="Dashed List"/>
        <w:numPr>
          <w:ilvl w:val="0"/>
          <w:numId w:val="20"/>
        </w:numPr>
        <w:spacing w:before="20" w:after="12"/>
      </w:pPr>
      <w:r>
        <w:t xml:space="preserve">fair;</w:t>
      </w:r>
    </w:p>
    <w:p>
      <w:pPr>
        <w:pStyle w:val="Dashed List"/>
        <w:numPr>
          <w:ilvl w:val="0"/>
          <w:numId w:val="20"/>
        </w:numPr>
        <w:spacing w:after="12"/>
      </w:pPr>
      <w:r>
        <w:t xml:space="preserve">orderly;</w:t>
      </w:r>
    </w:p>
    <w:p>
      <w:pPr>
        <w:pStyle w:val="Dashed List"/>
        <w:numPr>
          <w:ilvl w:val="0"/>
          <w:numId w:val="20"/>
        </w:numPr>
        <w:spacing w:after="12"/>
      </w:pPr>
      <w:r>
        <w:t xml:space="preserve">respectful; and</w:t>
      </w:r>
    </w:p>
    <w:p>
      <w:pPr>
        <w:pStyle w:val="Dashed List"/>
        <w:numPr>
          <w:ilvl w:val="0"/>
          <w:numId w:val="20"/>
        </w:numPr>
        <w:spacing w:after="100"/>
      </w:pPr>
      <w:r>
        <w:t xml:space="preserve">consistent with SAHPA’s governance values.</w:t>
      </w:r>
    </w:p>
    <w:p>
      <w:pPr>
        <w:pStyle w:val="Paragraph"/>
        <w:ind w:start="240"/>
        <w:spacing w:before="120" w:after="60"/>
      </w:pPr>
      <w:r>
        <w:t xml:space="preserve">10.2 The Board may issue guidance on campaigning conduct, including prohibitions on:</w:t>
      </w:r>
    </w:p>
    <w:p>
      <w:pPr>
        <w:pStyle w:val="Dashed List"/>
        <w:numPr>
          <w:ilvl w:val="0"/>
          <w:numId w:val="21"/>
        </w:numPr>
        <w:spacing w:before="20" w:after="12"/>
      </w:pPr>
      <w:r>
        <w:t xml:space="preserve">misinformation;</w:t>
      </w:r>
    </w:p>
    <w:p>
      <w:pPr>
        <w:pStyle w:val="Dashed List"/>
        <w:numPr>
          <w:ilvl w:val="0"/>
          <w:numId w:val="21"/>
        </w:numPr>
        <w:spacing w:after="12"/>
      </w:pPr>
      <w:r>
        <w:t xml:space="preserve">harassment;</w:t>
      </w:r>
    </w:p>
    <w:p>
      <w:pPr>
        <w:pStyle w:val="Dashed List"/>
        <w:numPr>
          <w:ilvl w:val="0"/>
          <w:numId w:val="21"/>
        </w:numPr>
        <w:spacing w:after="100"/>
      </w:pPr>
      <w:r>
        <w:t xml:space="preserve">misuse of SAHPA platforms.</w:t>
      </w:r>
    </w:p>
    <w:p>
      <w:pPr>
        <w:pStyle w:val="Paragraph"/>
        <w:ind w:start="240"/>
        <w:spacing w:before="120" w:after="60"/>
      </w:pPr>
      <w:r>
        <w:t xml:space="preserve">10.3 Breaches of election conduct rules may result in disqualification, provided procedural fairness is observed.</w:t>
      </w:r>
    </w:p>
    <w:p>
      <w:pPr>
        <w:pStyle w:val="Heading 3"/>
        <w:spacing w:before="300" w:after="100"/>
        <w:outlineLvl w:val="2"/>
      </w:pPr>
      <w:r>
        <w:t xml:space="preserve">11. Oversight and Integrity</w:t>
      </w:r>
    </w:p>
    <w:p>
      <w:pPr>
        <w:pStyle w:val="Paragraph"/>
        <w:ind w:start="240"/>
        <w:spacing w:before="120" w:after="60"/>
      </w:pPr>
      <w:r>
        <w:t xml:space="preserve">11.1 The Accountable and Compliance Manager shall oversee compliance with these Rules.</w:t>
      </w:r>
    </w:p>
    <w:p>
      <w:pPr>
        <w:pStyle w:val="Paragraph"/>
        <w:ind w:start="240"/>
        <w:spacing w:before="120" w:after="60"/>
      </w:pPr>
      <w:r>
        <w:t xml:space="preserve">11.2 The Board may appoint an independent scrutineer where appropriate.</w:t>
      </w:r>
    </w:p>
    <w:p>
      <w:pPr>
        <w:pStyle w:val="Heading 3"/>
        <w:spacing w:before="300" w:after="100"/>
        <w:outlineLvl w:val="2"/>
      </w:pPr>
      <w:r>
        <w:t xml:space="preserve">12. No Legal or Regulatory Delegation</w:t>
      </w:r>
    </w:p>
    <w:p>
      <w:pPr>
        <w:pStyle w:val="Paragraph"/>
        <w:ind w:start="240"/>
        <w:spacing w:before="120" w:after="60"/>
      </w:pPr>
      <w:r>
        <w:t xml:space="preserve">12.1 Nothing in these Rules:</w:t>
      </w:r>
    </w:p>
    <w:p>
      <w:pPr>
        <w:pStyle w:val="Dashed List"/>
        <w:numPr>
          <w:ilvl w:val="0"/>
          <w:numId w:val="22"/>
        </w:numPr>
        <w:spacing w:before="20" w:after="12"/>
      </w:pPr>
      <w:r>
        <w:t xml:space="preserve">confers regulatory authority;</w:t>
      </w:r>
    </w:p>
    <w:p>
      <w:pPr>
        <w:pStyle w:val="Dashed List"/>
        <w:numPr>
          <w:ilvl w:val="0"/>
          <w:numId w:val="22"/>
        </w:numPr>
        <w:spacing w:after="12"/>
      </w:pPr>
      <w:r>
        <w:t xml:space="preserve">creates public-law powers; or</w:t>
      </w:r>
    </w:p>
    <w:p>
      <w:pPr>
        <w:pStyle w:val="Dashed List"/>
        <w:numPr>
          <w:ilvl w:val="0"/>
          <w:numId w:val="22"/>
        </w:numPr>
        <w:spacing w:after="100"/>
      </w:pPr>
      <w:r>
        <w:t xml:space="preserve">binds persons other than SAHPA and its recognised participants.</w:t>
      </w:r>
    </w:p>
    <w:p>
      <w:pPr>
        <w:pStyle w:val="Heading 3"/>
        <w:spacing w:before="300" w:after="100"/>
        <w:outlineLvl w:val="2"/>
      </w:pPr>
      <w:r>
        <w:t xml:space="preserve">13. Amendment of Election Rules</w:t>
      </w:r>
    </w:p>
    <w:p>
      <w:pPr>
        <w:pStyle w:val="Paragraph"/>
        <w:ind w:start="240"/>
        <w:spacing w:before="120" w:after="60"/>
      </w:pPr>
      <w:r>
        <w:t xml:space="preserve">13.1 These Rules may be amended by resolution of the Board, provided that:</w:t>
      </w:r>
    </w:p>
    <w:p>
      <w:pPr>
        <w:pStyle w:val="Dashed List"/>
        <w:numPr>
          <w:ilvl w:val="0"/>
          <w:numId w:val="23"/>
        </w:numPr>
        <w:spacing w:before="20" w:after="12"/>
      </w:pPr>
      <w:r>
        <w:t xml:space="preserve">amendments are consistent with the MOI; and</w:t>
      </w:r>
    </w:p>
    <w:p>
      <w:pPr>
        <w:pStyle w:val="Dashed List"/>
        <w:numPr>
          <w:ilvl w:val="0"/>
          <w:numId w:val="23"/>
        </w:numPr>
        <w:spacing w:after="100"/>
      </w:pPr>
      <w:r>
        <w:t xml:space="preserve">material changes are communicated in advance of any election.</w:t>
      </w:r>
    </w:p>
    <w:p>
      <w:pPr>
        <w:pStyle w:val="Heading 3"/>
        <w:spacing w:before="300" w:after="100"/>
        <w:outlineLvl w:val="2"/>
      </w:pPr>
      <w:r>
        <w:t xml:space="preserve">14. Transitional Provision</w:t>
      </w:r>
    </w:p>
    <w:p>
      <w:pPr>
        <w:pStyle w:val="Paragraph"/>
        <w:ind w:start="240"/>
        <w:spacing w:before="120" w:after="60"/>
      </w:pPr>
      <w:r>
        <w:t xml:space="preserve">14.1 These Rules apply to the first election conducted following their adoption, including the next annual general meeting.</w:t>
      </w:r>
    </w:p>
    <w:sectPr>
      <w:pgSz w:w="11900" w:h="16840" w:orient="portrait"/>
      <w:pgMar w:header="340" w:footer="566" w:top="1700" w:left="1700" w:right="1700" w:bottom="1700"/>
      <w:footnotePr>
        <w:pos w:val="pageBottom"/>
        <w:numFmt w:val="decimal"/>
        <w:numRestart w:val="eachSect"/>
      </w:footnotePr>
      <w:endnotePr>
        <w:pos w:val="sectEnd"/>
        <w:numFmt w:val="decimal"/>
        <w:numRestart w:val="eachSect"/>
      </w:endnotePr>
      <w:footerReference r:id="rId4" w:type="default"/>
    </w:sectPr>
  </w:body>
</w:document>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footer4.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center"/>
    </w:pPr>
    <w:r>
      <w:t xml:space="preserve">Page </w:t>
    </w:r>
    <w:fldSimple w:instr="PAGE \* MERGEFORMAT">
      <w:r>
        <w:t xml:space="preserve">1</w:t>
      </w:r>
    </w:fldSimple>
  </w:p>
</w:ft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multiLevelType w:val="singleLevel"/>
    <w:lvl w:ilvl="0">
      <w:start w:val="1"/>
      <w:numFmt w:val="bullet"/>
      <w:lvlText w:val="-"/>
      <w:lvlJc w:val="left"/>
      <w:pPr>
        <w:tabs>
          <w:tab w:val="num" w:pos="600"/>
        </w:tabs>
        <w:ind w:start="600" w:hanging="240"/>
      </w:pPr>
    </w:lvl>
  </w:abstractNum>
  <w:abstractNum w:abstractNumId="1">
    <w:multiLevelType w:val="singleLevel"/>
    <w:lvl w:ilvl="0">
      <w:start w:val="1"/>
      <w:numFmt w:val="bullet"/>
      <w:lvlText w:val="-"/>
      <w:lvlJc w:val="left"/>
      <w:pPr>
        <w:tabs>
          <w:tab w:val="num" w:pos="600"/>
        </w:tabs>
        <w:ind w:start="600" w:hanging="240"/>
      </w:pPr>
    </w:lvl>
  </w:abstractNum>
  <w:abstractNum w:abstractNumId="2">
    <w:multiLevelType w:val="singleLevel"/>
    <w:lvl w:ilvl="0">
      <w:start w:val="1"/>
      <w:numFmt w:val="bullet"/>
      <w:lvlText w:val="-"/>
      <w:lvlJc w:val="left"/>
      <w:pPr>
        <w:tabs>
          <w:tab w:val="num" w:pos="600"/>
        </w:tabs>
        <w:ind w:start="600" w:hanging="240"/>
      </w:pPr>
    </w:lvl>
  </w:abstractNum>
  <w:abstractNum w:abstractNumId="3">
    <w:multiLevelType w:val="singleLevel"/>
    <w:lvl w:ilvl="0">
      <w:start w:val="1"/>
      <w:numFmt w:val="bullet"/>
      <w:lvlText w:val="-"/>
      <w:lvlJc w:val="left"/>
      <w:pPr>
        <w:tabs>
          <w:tab w:val="num" w:pos="600"/>
        </w:tabs>
        <w:ind w:start="600" w:hanging="240"/>
      </w:pPr>
    </w:lvl>
  </w:abstractNum>
  <w:abstractNum w:abstractNumId="4">
    <w:multiLevelType w:val="singleLevel"/>
    <w:lvl w:ilvl="0">
      <w:start w:val="1"/>
      <w:numFmt w:val="bullet"/>
      <w:lvlText w:val="-"/>
      <w:lvlJc w:val="left"/>
      <w:pPr>
        <w:tabs>
          <w:tab w:val="num" w:pos="600"/>
        </w:tabs>
        <w:ind w:start="600" w:hanging="240"/>
      </w:pPr>
    </w:lvl>
  </w:abstractNum>
  <w:abstractNum w:abstractNumId="5">
    <w:multiLevelType w:val="singleLevel"/>
    <w:lvl w:ilvl="0">
      <w:start w:val="1"/>
      <w:numFmt w:val="bullet"/>
      <w:lvlText w:val="-"/>
      <w:lvlJc w:val="left"/>
      <w:pPr>
        <w:tabs>
          <w:tab w:val="num" w:pos="600"/>
        </w:tabs>
        <w:ind w:start="600" w:hanging="240"/>
      </w:pPr>
    </w:lvl>
  </w:abstractNum>
  <w:abstractNum w:abstractNumId="6">
    <w:multiLevelType w:val="singleLevel"/>
    <w:lvl w:ilvl="0">
      <w:start w:val="1"/>
      <w:numFmt w:val="bullet"/>
      <w:lvlText w:val="-"/>
      <w:lvlJc w:val="left"/>
      <w:pPr>
        <w:tabs>
          <w:tab w:val="num" w:pos="600"/>
        </w:tabs>
        <w:ind w:start="600" w:hanging="240"/>
      </w:pPr>
    </w:lvl>
  </w:abstractNum>
  <w:abstractNum w:abstractNumId="7">
    <w:multiLevelType w:val="multilevel"/>
    <w:lvl w:ilvl="0">
      <w:start w:val="1"/>
      <w:numFmt w:val="bullet"/>
      <w:lvlText w:val="-"/>
      <w:lvlJc w:val="left"/>
      <w:pPr>
        <w:tabs>
          <w:tab w:val="num" w:pos="600"/>
        </w:tabs>
        <w:ind w:start="600" w:hanging="240"/>
      </w:pPr>
    </w:lvl>
    <w:lvl w:ilvl="1">
      <w:start w:val="1"/>
      <w:numFmt w:val="bullet"/>
      <w:lvlText w:val="-"/>
      <w:lvlJc w:val="left"/>
      <w:pPr>
        <w:tabs>
          <w:tab w:val="num" w:pos="960"/>
        </w:tabs>
        <w:ind w:start="960" w:hanging="240"/>
      </w:pPr>
    </w:lvl>
  </w:abstractNum>
  <w:abstractNum w:abstractNumId="8">
    <w:multiLevelType w:val="multilevel"/>
    <w:lvl w:ilvl="0">
      <w:start w:val="1"/>
      <w:numFmt w:val="bullet"/>
      <w:lvlText w:val="-"/>
      <w:lvlJc w:val="left"/>
      <w:pPr>
        <w:tabs>
          <w:tab w:val="num" w:pos="600"/>
        </w:tabs>
        <w:ind w:start="600" w:hanging="240"/>
      </w:pPr>
    </w:lvl>
    <w:lvl w:ilvl="1">
      <w:start w:val="1"/>
      <w:numFmt w:val="bullet"/>
      <w:lvlText w:val="-"/>
      <w:lvlJc w:val="left"/>
      <w:pPr>
        <w:tabs>
          <w:tab w:val="num" w:pos="960"/>
        </w:tabs>
        <w:ind w:start="960" w:hanging="240"/>
      </w:pPr>
    </w:lvl>
  </w:abstractNum>
  <w:abstractNum w:abstractNumId="9">
    <w:multiLevelType w:val="singleLevel"/>
    <w:lvl w:ilvl="0">
      <w:start w:val="1"/>
      <w:numFmt w:val="bullet"/>
      <w:lvlText w:val="-"/>
      <w:lvlJc w:val="left"/>
      <w:pPr>
        <w:tabs>
          <w:tab w:val="num" w:pos="600"/>
        </w:tabs>
        <w:ind w:start="600" w:hanging="240"/>
      </w:pPr>
    </w:lvl>
  </w:abstractNum>
  <w:abstractNum w:abstractNumId="10">
    <w:multiLevelType w:val="singleLevel"/>
    <w:lvl w:ilvl="0">
      <w:start w:val="1"/>
      <w:numFmt w:val="bullet"/>
      <w:lvlText w:val="-"/>
      <w:lvlJc w:val="left"/>
      <w:pPr>
        <w:tabs>
          <w:tab w:val="num" w:pos="600"/>
        </w:tabs>
        <w:ind w:start="600" w:hanging="240"/>
      </w:pPr>
    </w:lvl>
  </w:abstractNum>
  <w:abstractNum w:abstractNumId="11">
    <w:multiLevelType w:val="singleLevel"/>
    <w:lvl w:ilvl="0">
      <w:start w:val="1"/>
      <w:numFmt w:val="bullet"/>
      <w:lvlText w:val="-"/>
      <w:lvlJc w:val="left"/>
      <w:pPr>
        <w:tabs>
          <w:tab w:val="num" w:pos="600"/>
        </w:tabs>
        <w:ind w:start="600" w:hanging="240"/>
      </w:pPr>
    </w:lvl>
  </w:abstractNum>
  <w:abstractNum w:abstractNumId="12">
    <w:multiLevelType w:val="singleLevel"/>
    <w:lvl w:ilvl="0">
      <w:start w:val="1"/>
      <w:numFmt w:val="bullet"/>
      <w:lvlText w:val="-"/>
      <w:lvlJc w:val="left"/>
      <w:pPr>
        <w:tabs>
          <w:tab w:val="num" w:pos="600"/>
        </w:tabs>
        <w:ind w:start="600" w:hanging="240"/>
      </w:pPr>
    </w:lvl>
  </w:abstractNum>
  <w:abstractNum w:abstractNumId="13">
    <w:multiLevelType w:val="singleLevel"/>
    <w:lvl w:ilvl="0">
      <w:start w:val="1"/>
      <w:numFmt w:val="bullet"/>
      <w:lvlText w:val="-"/>
      <w:lvlJc w:val="left"/>
      <w:pPr>
        <w:tabs>
          <w:tab w:val="num" w:pos="600"/>
        </w:tabs>
        <w:ind w:start="600" w:hanging="240"/>
      </w:pPr>
    </w:lvl>
  </w:abstractNum>
  <w:abstractNum w:abstractNumId="14">
    <w:multiLevelType w:val="singleLevel"/>
    <w:lvl w:ilvl="0">
      <w:start w:val="1"/>
      <w:numFmt w:val="bullet"/>
      <w:lvlText w:val="-"/>
      <w:lvlJc w:val="left"/>
      <w:pPr>
        <w:tabs>
          <w:tab w:val="num" w:pos="600"/>
        </w:tabs>
        <w:ind w:start="600" w:hanging="240"/>
      </w:pPr>
    </w:lvl>
  </w:abstractNum>
  <w:abstractNum w:abstractNumId="15">
    <w:multiLevelType w:val="singleLevel"/>
    <w:lvl w:ilvl="0">
      <w:start w:val="1"/>
      <w:numFmt w:val="bullet"/>
      <w:lvlText w:val="-"/>
      <w:lvlJc w:val="left"/>
      <w:pPr>
        <w:tabs>
          <w:tab w:val="num" w:pos="600"/>
        </w:tabs>
        <w:ind w:start="600" w:hanging="240"/>
      </w:pPr>
    </w:lvl>
  </w:abstractNum>
  <w:abstractNum w:abstractNumId="16">
    <w:multiLevelType w:val="singleLevel"/>
    <w:lvl w:ilvl="0">
      <w:start w:val="1"/>
      <w:numFmt w:val="bullet"/>
      <w:lvlText w:val="-"/>
      <w:lvlJc w:val="left"/>
      <w:pPr>
        <w:tabs>
          <w:tab w:val="num" w:pos="600"/>
        </w:tabs>
        <w:ind w:start="600" w:hanging="240"/>
      </w:pPr>
    </w:lvl>
  </w:abstractNum>
  <w:abstractNum w:abstractNumId="17">
    <w:multiLevelType w:val="singleLevel"/>
    <w:lvl w:ilvl="0">
      <w:start w:val="1"/>
      <w:numFmt w:val="bullet"/>
      <w:lvlText w:val="-"/>
      <w:lvlJc w:val="left"/>
      <w:pPr>
        <w:tabs>
          <w:tab w:val="num" w:pos="600"/>
        </w:tabs>
        <w:ind w:start="600" w:hanging="240"/>
      </w:pPr>
    </w:lvl>
  </w:abstractNum>
  <w:abstractNum w:abstractNumId="18">
    <w:multiLevelType w:val="singleLevel"/>
    <w:lvl w:ilvl="0">
      <w:start w:val="1"/>
      <w:numFmt w:val="bullet"/>
      <w:lvlText w:val="-"/>
      <w:lvlJc w:val="left"/>
      <w:pPr>
        <w:tabs>
          <w:tab w:val="num" w:pos="600"/>
        </w:tabs>
        <w:ind w:start="600" w:hanging="240"/>
      </w:pPr>
    </w:lvl>
  </w:abstractNum>
  <w:abstractNum w:abstractNumId="19">
    <w:multiLevelType w:val="singleLevel"/>
    <w:lvl w:ilvl="0">
      <w:start w:val="1"/>
      <w:numFmt w:val="bullet"/>
      <w:lvlText w:val="-"/>
      <w:lvlJc w:val="left"/>
      <w:pPr>
        <w:tabs>
          <w:tab w:val="num" w:pos="600"/>
        </w:tabs>
        <w:ind w:start="600" w:hanging="240"/>
      </w:pPr>
    </w:lvl>
  </w:abstractNum>
  <w:abstractNum w:abstractNumId="20">
    <w:multiLevelType w:val="singleLevel"/>
    <w:lvl w:ilvl="0">
      <w:start w:val="1"/>
      <w:numFmt w:val="bullet"/>
      <w:lvlText w:val="-"/>
      <w:lvlJc w:val="left"/>
      <w:pPr>
        <w:tabs>
          <w:tab w:val="num" w:pos="600"/>
        </w:tabs>
        <w:ind w:start="600" w:hanging="240"/>
      </w:pPr>
    </w:lvl>
  </w:abstractNum>
  <w:abstractNum w:abstractNumId="21">
    <w:multiLevelType w:val="singleLevel"/>
    <w:lvl w:ilvl="0">
      <w:start w:val="1"/>
      <w:numFmt w:val="bullet"/>
      <w:lvlText w:val="-"/>
      <w:lvlJc w:val="left"/>
      <w:pPr>
        <w:tabs>
          <w:tab w:val="num" w:pos="600"/>
        </w:tabs>
        <w:ind w:start="600" w:hanging="240"/>
      </w:pPr>
    </w:lvl>
  </w:abstractNum>
  <w:abstractNum w:abstractNumId="22">
    <w:multiLevelType w:val="singleLevel"/>
    <w:lvl w:ilvl="0">
      <w:start w:val="1"/>
      <w:numFmt w:val="bullet"/>
      <w:lvlText w:val="-"/>
      <w:lvlJc w:val="left"/>
      <w:pPr>
        <w:tabs>
          <w:tab w:val="num" w:pos="600"/>
        </w:tabs>
        <w:ind w:start="600" w:hanging="24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mc:Ignorable="w14 w15">
  <w:compat>
    <w:useFELayout/>
    <w:compatSetting w:name="compatibilityMode" w:uri="http://schemas.microsoft.com/office/word" w:val="15"/>
    <w:compatSetting w:name="enableOpenTypeFeatures" w:uri="http://schemas.microsoft.com/office/word" w:val="1"/>
  </w:compat>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pPrDefault>
      <w:pPr>
        <w:jc w:val="left"/>
        <w:spacing w:line="300" w:lineRule="atLeast"/>
        <w:suppressAutoHyphens/>
      </w:pPr>
    </w:pPrDefault>
    <w:rPrDefault>
      <w:rPr>
        <w:rFonts w:ascii="Avenir Next Regular" w:cs="Avenir Next Regular" w:eastAsia="Avenir Next Regular" w:hAnsi="Avenir Next Regular"/>
        <w:sz w:val="20"/>
        <w:szCs w:val="20"/>
        <w:color w:val="4d4d4d"/>
        <w:strike w:val="0"/>
        <w:u w:val="none"/>
        <w:vertAlign w:val="baseline"/>
        <w14:ligatures w14:val="standardContextual"/>
        <w:lang w:val="en-ZA" w:eastAsia="en-ZA" w:bidi="en-ZA"/>
      </w:rPr>
    </w:rPrDefault>
  </w:docDefaults>
  <w:style w:type="paragraph" w:default="1" w:styleId="Normal">
    <w:name w:val="Normal"/>
    <w:qFormat/>
    <w:pPr>
      <w:jc w:val="left"/>
      <w:spacing w:line="300" w:lineRule="atLeast"/>
      <w:suppressAutoHyphens/>
    </w:pPr>
    <w:rPr>
      <w:rFonts w:ascii="Avenir Next Regular" w:cs="Avenir Next Regular" w:eastAsia="Avenir Next Regular" w:hAnsi="Avenir Next Regular"/>
      <w:sz w:val="20"/>
      <w:szCs w:val="20"/>
      <w:color w:val="4d4d4d"/>
      <w:strike w:val="0"/>
      <w:u w:val="none"/>
      <w:vertAlign w:val="baseline"/>
      <w14:ligatures w14:val="standardContextual"/>
      <w:lang w:val="en-ZA" w:eastAsia="en-ZA" w:bidi="en-ZA"/>
    </w:rPr>
  </w:style>
  <w:style w:type="paragraph" w:styleId="Dashed List">
    <w:name w:val="Dashed List"/>
    <w:basedOn w:val="Normal"/>
    <w:uiPriority w:val="1"/>
    <w:qFormat/>
  </w:style>
  <w:style w:type="paragraph" w:styleId="Codeblock">
    <w:name w:val="Codeblock"/>
    <w:basedOn w:val="Normal"/>
    <w:uiPriority w:val="1"/>
    <w:qFormat/>
    <w:semiHidden/>
    <w:unhideWhenUsed/>
    <w:pPr>
      <w:spacing w:line="0" w:lineRule="atLeast"/>
    </w:pPr>
    <w:rPr>
      <w:rFonts w:ascii="Menlo Regular" w:cs="Menlo Regular" w:eastAsia="Menlo Regular" w:hAnsi="Menlo Regular"/>
      <w:color w:val="779bc3"/>
    </w:rPr>
  </w:style>
  <w:style w:type="paragraph" w:styleId="Heading 4">
    <w:name w:val="Heading 4"/>
    <w:basedOn w:val="Normal"/>
    <w:uiPriority w:val="1"/>
    <w:qFormat/>
    <w:pPr>
      <w:spacing w:line="200" w:lineRule="atLeast"/>
      <w:keepNext/>
    </w:pPr>
    <w:rPr>
      <w:rFonts w:ascii="Avenir Next Regular" w:cs="Avenir Next Regular" w:eastAsia="Avenir Next Regular" w:hAnsi="Avenir Next Regular"/>
      <w:b/>
      <w:color w:val="666666"/>
    </w:rPr>
  </w:style>
  <w:style w:type="paragraph" w:styleId="Heading 1">
    <w:name w:val="Heading 1"/>
    <w:basedOn w:val="Normal"/>
    <w:uiPriority w:val="1"/>
    <w:qFormat/>
    <w:pPr>
      <w:spacing w:line="320" w:lineRule="atLeast"/>
      <w:keepNext/>
    </w:pPr>
    <w:rPr>
      <w:rFonts w:ascii="Avenir Next Regular" w:cs="Avenir Next Regular" w:eastAsia="Avenir Next Regular" w:hAnsi="Avenir Next Regular"/>
      <w:sz w:val="32"/>
      <w:szCs w:val="32"/>
      <w:b/>
      <w:color w:val="666666"/>
    </w:rPr>
  </w:style>
  <w:style w:type="paragraph" w:styleId="Table of Contents">
    <w:name w:val="Table of Contents"/>
    <w:basedOn w:val="Normal"/>
    <w:uiPriority w:val="1"/>
    <w:qFormat/>
    <w:semiHidden/>
    <w:unhideWhenUsed/>
    <w:pPr>
      <w:spacing w:line="280" w:lineRule="atLeast"/>
    </w:pPr>
  </w:style>
  <w:style w:type="paragraph" w:styleId="Paragraph">
    <w:name w:val="Paragraph"/>
    <w:basedOn w:val="Normal"/>
    <w:uiPriority w:val="1"/>
    <w:qFormat/>
  </w:style>
  <w:style w:type="paragraph" w:styleId="Raw Source Block">
    <w:name w:val="Raw Source Block"/>
    <w:basedOn w:val="Normal"/>
    <w:uiPriority w:val="1"/>
    <w:qFormat/>
    <w:semiHidden/>
    <w:unhideWhenUsed/>
  </w:style>
  <w:style w:type="paragraph" w:styleId="Heading 5">
    <w:name w:val="Heading 5"/>
    <w:basedOn w:val="Normal"/>
    <w:uiPriority w:val="1"/>
    <w:qFormat/>
    <w:semiHidden/>
    <w:unhideWhenUsed/>
    <w:pPr>
      <w:spacing w:line="240" w:lineRule="atLeast"/>
      <w:keepNext/>
    </w:pPr>
    <w:rPr>
      <w:rFonts w:ascii="Avenir Next Regular" w:cs="Avenir Next Regular" w:eastAsia="Avenir Next Regular" w:hAnsi="Avenir Next Regular"/>
      <w:sz w:val="24"/>
      <w:szCs w:val="24"/>
      <w:b/>
      <w:i/>
      <w:color w:val="666666"/>
    </w:rPr>
  </w:style>
  <w:style w:type="paragraph" w:styleId="Divider">
    <w:name w:val="Divider"/>
    <w:basedOn w:val="Normal"/>
    <w:uiPriority w:val="1"/>
    <w:qFormat/>
    <w:semiHidden/>
    <w:unhideWhenUsed/>
  </w:style>
  <w:style w:type="paragraph" w:styleId="Heading 2">
    <w:name w:val="Heading 2"/>
    <w:basedOn w:val="Normal"/>
    <w:uiPriority w:val="1"/>
    <w:qFormat/>
    <w:pPr>
      <w:spacing w:line="280" w:lineRule="atLeast"/>
      <w:keepNext/>
    </w:pPr>
    <w:rPr>
      <w:rFonts w:ascii="Avenir Next Regular" w:cs="Avenir Next Regular" w:eastAsia="Avenir Next Regular" w:hAnsi="Avenir Next Regular"/>
      <w:sz w:val="28"/>
      <w:szCs w:val="28"/>
      <w:b/>
      <w:color w:val="666666"/>
    </w:rPr>
  </w:style>
  <w:style w:type="paragraph" w:styleId="Blockquote">
    <w:name w:val="Blockquote"/>
    <w:basedOn w:val="Normal"/>
    <w:uiPriority w:val="1"/>
    <w:qFormat/>
    <w:semiHidden/>
    <w:unhideWhenUsed/>
    <w:rPr>
      <w:rFonts w:ascii="Avenir Next Regular" w:cs="Avenir Next Regular" w:eastAsia="Avenir Next Regular" w:hAnsi="Avenir Next Regular"/>
      <w:i/>
    </w:rPr>
  </w:style>
  <w:style w:type="paragraph" w:styleId="Numbered List">
    <w:name w:val="Numbered List"/>
    <w:basedOn w:val="Normal"/>
    <w:uiPriority w:val="1"/>
    <w:qFormat/>
  </w:style>
  <w:style w:type="paragraph" w:styleId="Heading 6">
    <w:name w:val="Heading 6"/>
    <w:basedOn w:val="Normal"/>
    <w:uiPriority w:val="1"/>
    <w:qFormat/>
    <w:semiHidden/>
    <w:unhideWhenUsed/>
    <w:pPr>
      <w:spacing w:line="240" w:lineRule="atLeast"/>
      <w:keepNext/>
    </w:pPr>
    <w:rPr>
      <w:rFonts w:ascii="Avenir Next Regular" w:cs="Avenir Next Regular" w:eastAsia="Avenir Next Regular" w:hAnsi="Avenir Next Regular"/>
      <w:sz w:val="24"/>
      <w:szCs w:val="24"/>
      <w:i/>
    </w:rPr>
  </w:style>
  <w:style w:type="paragraph" w:styleId="Comment Block">
    <w:name w:val="Comment Block"/>
    <w:basedOn w:val="Normal"/>
    <w:uiPriority w:val="1"/>
    <w:qFormat/>
    <w:semiHidden/>
    <w:unhideWhenUsed/>
  </w:style>
  <w:style w:type="paragraph" w:styleId="Heading 3">
    <w:name w:val="Heading 3"/>
    <w:basedOn w:val="Normal"/>
    <w:uiPriority w:val="1"/>
    <w:qFormat/>
    <w:pPr>
      <w:spacing w:line="240" w:lineRule="atLeast"/>
      <w:keepNext/>
    </w:pPr>
    <w:rPr>
      <w:rFonts w:ascii="Avenir Next Regular" w:cs="Avenir Next Regular" w:eastAsia="Avenir Next Regular" w:hAnsi="Avenir Next Regular"/>
      <w:sz w:val="24"/>
      <w:szCs w:val="24"/>
      <w:b/>
      <w:color w:val="666666"/>
    </w:rPr>
  </w:style>
  <w:style w:type="character" w:styleId="Strong">
    <w:name w:val="Strong"/>
    <w:basedOn w:val="Normal"/>
    <w:uiPriority w:val="2"/>
    <w:qFormat/>
    <w:rPr>
      <w:rFonts w:ascii="Avenir Next Regular" w:cs="Avenir Next Regular" w:eastAsia="Avenir Next Regular" w:hAnsi="Avenir Next Regular"/>
      <w:b/>
      <w:color w:val="666666"/>
    </w:rPr>
  </w:style>
  <w:style w:type="character" w:styleId="Redact">
    <w:name w:val="Redact"/>
    <w:basedOn w:val="Normal"/>
    <w:uiPriority w:val="2"/>
    <w:qFormat/>
    <w:semiHidden/>
    <w:unhideWhenUsed/>
  </w:style>
  <w:style w:type="character" w:styleId="Tag">
    <w:name w:val="Tag"/>
    <w:basedOn w:val="Normal"/>
    <w:uiPriority w:val="2"/>
    <w:qFormat/>
    <w:semiHidden/>
    <w:unhideWhenUsed/>
  </w:style>
  <w:style w:type="character" w:styleId="Mark">
    <w:name w:val="Mark"/>
    <w:basedOn w:val="Normal"/>
    <w:uiPriority w:val="2"/>
    <w:qFormat/>
    <w:semiHidden/>
    <w:unhideWhenUsed/>
  </w:style>
  <w:style w:type="character" w:styleId="Comment">
    <w:name w:val="Comment"/>
    <w:basedOn w:val="Normal"/>
    <w:uiPriority w:val="2"/>
    <w:qFormat/>
    <w:semiHidden/>
    <w:unhideWhenUsed/>
  </w:style>
  <w:style w:type="character" w:styleId="Link">
    <w:name w:val="Link"/>
    <w:basedOn w:val="Normal"/>
    <w:uiPriority w:val="2"/>
    <w:qFormat/>
    <w:rPr>
      <w:rFonts w:ascii="Avenir Next Regular" w:cs="Avenir Next Regular" w:eastAsia="Avenir Next Regular" w:hAnsi="Avenir Next Regular"/>
      <w:i/>
      <w:color w:val="779bc3"/>
    </w:rPr>
  </w:style>
  <w:style w:type="character" w:styleId="Raw Source">
    <w:name w:val="Raw Source"/>
    <w:basedOn w:val="Normal"/>
    <w:uiPriority w:val="2"/>
    <w:qFormat/>
    <w:semiHidden/>
    <w:unhideWhenUsed/>
  </w:style>
  <w:style w:type="character" w:styleId="Emphasis">
    <w:name w:val="Emphasis"/>
    <w:basedOn w:val="Normal"/>
    <w:uiPriority w:val="2"/>
    <w:qFormat/>
    <w:rPr>
      <w:rFonts w:ascii="Avenir Next Regular" w:cs="Avenir Next Regular" w:eastAsia="Avenir Next Regular" w:hAnsi="Avenir Next Regular"/>
      <w:i/>
    </w:rPr>
  </w:style>
  <w:style w:type="character" w:styleId="Inline Code">
    <w:name w:val="Inline Code"/>
    <w:basedOn w:val="Normal"/>
    <w:uiPriority w:val="2"/>
    <w:qFormat/>
    <w:semiHidden/>
    <w:unhideWhenUsed/>
    <w:rPr>
      <w:rFonts w:ascii="Menlo Regular" w:cs="Menlo Regular" w:eastAsia="Menlo Regular" w:hAnsi="Menlo Regular"/>
      <w:color w:val="779bc3"/>
    </w:rPr>
  </w:style>
  <w:style w:type="character" w:styleId="Annotation">
    <w:name w:val="Annotation"/>
    <w:basedOn w:val="Normal"/>
    <w:uiPriority w:val="2"/>
    <w:qFormat/>
    <w:semiHidden/>
    <w:unhideWhenUsed/>
  </w:style>
  <w:style w:type="character" w:styleId="Inline Cite">
    <w:name w:val="Inline Cite"/>
    <w:basedOn w:val="Normal"/>
    <w:uiPriority w:val="2"/>
    <w:qFormat/>
    <w:semiHidden/>
    <w:unhideWhenUsed/>
    <w:rPr>
      <w:rFonts w:ascii="Avenir Next Regular" w:cs="Avenir Next Regular" w:eastAsia="Avenir Next Regular" w:hAnsi="Avenir Next Regular"/>
      <w:i/>
    </w:rPr>
  </w:style>
</w:styles>
</file>

<file path=word/_rels/document.xml.rels><?xml version="1.0" encoding="UTF-8" standalone="yes"?>
<Relationships xmlns="http://schemas.openxmlformats.org/package/2006/relationships">
    <Relationship Id="rId1" Type="http://schemas.openxmlformats.org/officeDocument/2006/relationships/footer" Target="footer1.xml"/>
    <Relationship Id="rId2" Type="http://schemas.openxmlformats.org/officeDocument/2006/relationships/footer" Target="footer2.xml"/>
    <Relationship Id="rId3" Type="http://schemas.openxmlformats.org/officeDocument/2006/relationships/footer" Target="footer3.xml"/>
    <Relationship Id="rId4" Type="http://schemas.openxmlformats.org/officeDocument/2006/relationships/footer" Target="footer4.xml"/>
    <Relationship Id="rId5" Type="http://schemas.openxmlformats.org/officeDocument/2006/relationships/settings" Target="settings.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file>