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  <Relationship Id="rId1" Type="http://schemas.openxmlformats.org/package/2006/relationships/metadata/core-properties" Target="docProps/core.xml"/>
    <Relationship Id="rId2" Type="http://schemas.openxmlformats.org/officeDocument/2006/relationships/extended-properties" Target="docProps/app.xml"/>
    <Relationship Id="rId3" Type="http://schemas.openxmlformats.org/officeDocument/2006/relationships/officeDocument" Target="word/document.xml"/>
</Relationships>
</file>

<file path=word/document.xml><?xml version="1.0" encoding="utf-8"?>
<w:document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 1"/>
        <w:spacing w:before="200" w:after="320"/>
        <w:outlineLvl w:val="0"/>
      </w:pPr>
      <w:bookmarkStart w:id="1" w:name="SAHPA_PAIA_and_POPIA_Manual"/>
      <w:bookmarkStart w:id="2" w:name="_toc1"/>
      <w:r>
        <w:t xml:space="preserve">SAHPA PAIA and POPIA Manual</w:t>
      </w:r>
      <w:bookmarkEnd w:id="1"/>
      <w:bookmarkEnd w:id="2"/>
    </w:p>
    <w:tbl>
      <w:tblPr>
        <w:tblBorders>
          <w:top w:space="0" w:shadow="0" w:frame="0" w:val="single" w:color="000000" w:sz="8"/>
          <w:start w:val="nil"/>
          <w:bottom w:space="0" w:shadow="0" w:frame="0" w:val="single" w:color="000000" w:sz="8"/>
          <w:end w:val="nil"/>
          <w:insideV w:val="nil"/>
          <w:insideH w:space="0" w:shadow="0" w:frame="0" w:val="single" w:color="dddddd" w:sz="4"/>
        </w:tblBorders>
        <w:jc w:val="left"/>
        <w:tblLayout w:type="fixed"/>
      </w:tblPr>
      <w:tblGrid>
        <w:gridCol w:w="4240"/>
        <w:gridCol w:w="4240"/>
      </w:tblGrid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Document Name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PAIA and POPIA Manual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Document Owner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Information Officer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Stakeholders consulted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Members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Approval by 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Committee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Approval Date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TBA - Proposed 2026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Effective Date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TBA - Proposed 2026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Previous Version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left"/>
              <w:spacing w:line="0" w:lineRule="atLeast"/>
            </w:pPr>
            <w:r>
              <w:t xml:space="preserve"> 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Current Version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0.3 FINAL DRAFT FOR REVIEW</w:t>
            </w:r>
          </w:p>
        </w:tc>
      </w:tr>
    </w:tbl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1" w:type="default"/>
        </w:sectPr>
      </w:pPr>
    </w:p>
    <w:p>
      <w:pPr>
        <w:pStyle w:val="Heading 2"/>
        <w:spacing w:before="300" w:after="200"/>
        <w:outlineLvl w:val="1"/>
      </w:pPr>
      <w:bookmarkStart w:id="3" w:name="Document_Control"/>
      <w:bookmarkStart w:id="4" w:name="_toc2"/>
      <w:r>
        <w:t xml:space="preserve">Document Control</w:t>
      </w:r>
      <w:bookmarkEnd w:id="3"/>
      <w:bookmarkEnd w:id="4"/>
    </w:p>
    <w:tbl>
      <w:tblPr>
        <w:tblBorders>
          <w:top w:space="0" w:shadow="0" w:frame="0" w:val="single" w:color="000000" w:sz="8"/>
          <w:start w:val="nil"/>
          <w:bottom w:space="0" w:shadow="0" w:frame="0" w:val="single" w:color="000000" w:sz="8"/>
          <w:end w:val="nil"/>
          <w:insideV w:val="nil"/>
          <w:insideH w:space="0" w:shadow="0" w:frame="0" w:val="single" w:color="dddddd" w:sz="4"/>
        </w:tblBorders>
        <w:jc w:val="left"/>
        <w:tblLayout w:type="fixed"/>
      </w:tblPr>
      <w:tblGrid>
        <w:gridCol w:w="2960"/>
        <w:gridCol w:w="1920"/>
        <w:gridCol w:w="1800"/>
        <w:gridCol w:w="1800"/>
      </w:tblGrid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Description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Date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Author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Version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Document created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21 December 2025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Louis Stanford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0.1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First DRAFT for Internal Review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22 December 2025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Louis Stanford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0.2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FINAL DRAFT for Review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06 January 2026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Louis Stanford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0.3</w:t>
            </w:r>
          </w:p>
        </w:tc>
      </w:tr>
    </w:tbl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2" w:type="default"/>
        </w:sectPr>
      </w:pPr>
    </w:p>
    <w:p>
      <w:pPr>
        <w:pStyle w:val="Heading 2"/>
        <w:spacing w:before="300" w:after="200"/>
        <w:outlineLvl w:val="1"/>
      </w:pPr>
      <w:bookmarkStart w:id="5" w:name="Table_of_Contents"/>
      <w:bookmarkStart w:id="6" w:name="_toc3"/>
      <w:r>
        <w:t xml:space="preserve">Table of Contents</w:t>
      </w:r>
      <w:bookmarkEnd w:id="5"/>
      <w:bookmarkEnd w:id="6"/>
    </w:p>
    <w:sdt>
      <w:sdtPr>
        <w:docPartObj>
          <w:docPartGallery w:val="Table of Contents"/>
          <w:docPartUnique/>
        </w:docPartObj>
      </w:sdtPr>
      <w:sdtContent>
        <w:p>
          <w:pPr>
            <w:tabs>
              <w:tab w:val="right" w:pos="8498" w:leader="dot"/>
            </w:tabs>
            <w:pStyle w:val="TOC 2"/>
          </w:pPr>
          <w:r>
            <w:fldChar w:fldCharType="begin" w:dirty="true"/>
          </w:r>
          <w:r>
            <w:instrText>TOC \o "1-4" \b "_tocRange" \h \z \u \x</w:instrText>
          </w:r>
          <w:r>
            <w:fldChar w:fldCharType="separate"/>
          </w:r>
          <w:hyperlink w:anchor="_toc4">
            <w:r>
              <w:t xml:space="preserve">PART A - PAIA MANUAL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5">
            <w:r>
              <w:t xml:space="preserve">1. Purpose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6">
            <w:r>
              <w:t xml:space="preserve">2. Information Officer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7">
            <w:r>
              <w:t xml:space="preserve">3. Records Available Without a PAIA Request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8">
            <w:r>
              <w:t xml:space="preserve">4. Categories of Records Held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9">
            <w:r>
              <w:t xml:space="preserve">5. Grounds for Refusal or Limitation of Access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0">
            <w:r>
              <w:t xml:space="preserve">6. Incident, Accident, and Safety Records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1">
            <w:r>
              <w:t xml:space="preserve">7. Complaints, Disciplinary, and Corrective Action Records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2">
            <w:r>
              <w:t xml:space="preserve">8. Request Procedure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3">
            <w:r>
              <w:t xml:space="preserve">9. Decisions and Timeframes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4">
            <w:r>
              <w:t xml:space="preserve">10. Remedies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2"/>
          </w:pPr>
          <w:hyperlink w:anchor="_toc15">
            <w:r>
              <w:t xml:space="preserve">PART B – POPIA MANUAL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6">
            <w:r>
              <w:t xml:space="preserve">11. Purpose and Scope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7">
            <w:r>
              <w:t xml:space="preserve">12. Responsible Party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8">
            <w:r>
              <w:t xml:space="preserve">13. Categories of Data Subjects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19">
            <w:r>
              <w:t xml:space="preserve">14. Categories of Personal Information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0">
            <w:r>
              <w:t xml:space="preserve">15. Purpose and Lawful Basis for Processing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1">
            <w:r>
              <w:t xml:space="preserve">16. Data Submissions by Third Parties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2">
            <w:r>
              <w:t xml:space="preserve">17. Information Security Safeguards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3">
            <w:r>
              <w:t xml:space="preserve">18. Retention of Personal Information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4">
            <w:r>
              <w:t xml:space="preserve">19. Data Subject Rights and Limitations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5">
            <w:r>
              <w:t xml:space="preserve">20. Complaints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6">
            <w:r>
              <w:t xml:space="preserve">21. Interpretation and Non-Circumvention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2"/>
          </w:pPr>
          <w:hyperlink w:anchor="_toc27">
            <w:r>
              <w:t xml:space="preserve">Addendum A - Privacy Notice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8">
            <w:r>
              <w:t xml:space="preserve">1. Responsible Party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29">
            <w:r>
              <w:t xml:space="preserve">2. Personal Information We Process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0">
            <w:r>
              <w:t xml:space="preserve">3. Purpose of Processing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1">
            <w:r>
              <w:t xml:space="preserve">4. Lawful Basis for Processing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2">
            <w:r>
              <w:t xml:space="preserve">5. Information Systems and Data Submissions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3">
            <w:r>
              <w:t xml:space="preserve">6. Disclosure of Information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4">
            <w:r>
              <w:t xml:space="preserve">7. Data Security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5">
            <w:r>
              <w:t xml:space="preserve">8. Retention of Information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6">
            <w:r>
              <w:t xml:space="preserve">9. Data Subject Rights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7">
            <w:r>
              <w:t xml:space="preserve">10. Access to Records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8">
            <w:r>
              <w:t xml:space="preserve">11. Changes to This Notice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</w:p>
        <w:p>
          <w:pPr>
            <w:tabs>
              <w:tab w:val="right" w:pos="8498" w:leader="dot"/>
            </w:tabs>
            <w:pStyle w:val="TOC 3"/>
          </w:pPr>
          <w:hyperlink w:anchor="_toc39">
            <w:r>
              <w:t xml:space="preserve">12. Contact</w:t>
            </w:r>
            <w:r>
              <w:tab/>
            </w:r>
            <w:r>
              <w:fldChar w:fldCharType="begin"/>
            </w:r>
            <w:r>
              <w:instrText>PAGEREF _genericTocLink \h</w:instrText>
            </w:r>
            <w:r>
              <w:fldChar w:fldCharType="separate"/>
            </w:r>
            <w:r>
              <w:t xml:space="preserve"/>
            </w:r>
            <w:r>
              <w:fldChar w:fldCharType="end"/>
            </w:r>
          </w:hyperlink>
          <w:r>
            <w:fldChar w:fldCharType="end"/>
          </w:r>
        </w:p>
      </w:sdtContent>
    </w:sdt>
    <w:bookmarkStart w:id="7" w:name="_tocRange"/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3" w:type="default"/>
        </w:sectPr>
      </w:pPr>
    </w:p>
    <w:p>
      <w:pPr>
        <w:pStyle w:val="Heading 2"/>
        <w:spacing w:before="300" w:after="200"/>
        <w:outlineLvl w:val="1"/>
      </w:pPr>
      <w:bookmarkStart w:id="8" w:name="PART_A_-_PAIA_MANUAL"/>
      <w:bookmarkStart w:id="9" w:name="_toc4"/>
      <w:r>
        <w:t xml:space="preserve">PART A - PAIA MANUAL</w:t>
      </w:r>
      <w:bookmarkEnd w:id="8"/>
      <w:bookmarkEnd w:id="9"/>
    </w:p>
    <w:p>
      <w:pPr>
        <w:pStyle w:val="Heading 3"/>
        <w:spacing w:before="300" w:after="100"/>
        <w:outlineLvl w:val="2"/>
      </w:pPr>
      <w:bookmarkStart w:id="10" w:name="Purpose"/>
      <w:bookmarkStart w:id="11" w:name="_toc5"/>
      <w:r>
        <w:t xml:space="preserve">1. Purpose</w:t>
      </w:r>
      <w:bookmarkEnd w:id="10"/>
      <w:bookmarkEnd w:id="11"/>
    </w:p>
    <w:p>
      <w:pPr>
        <w:pStyle w:val="Paragraph"/>
        <w:ind w:start="240"/>
        <w:spacing w:before="120" w:after="60"/>
      </w:pPr>
      <w:r>
        <w:t xml:space="preserve">1.1 This Manual is published in accordance with section 51 of the Promotion of Access to Information Act, 2000.</w:t>
      </w:r>
    </w:p>
    <w:p>
      <w:pPr>
        <w:pStyle w:val="Paragraph"/>
        <w:ind w:start="240"/>
        <w:spacing w:before="120" w:after="60"/>
      </w:pPr>
      <w:r>
        <w:t xml:space="preserve">1.2 Its purpose is to:</w:t>
      </w:r>
    </w:p>
    <w:p>
      <w:pPr>
        <w:pStyle w:val="Dashed List"/>
        <w:numPr>
          <w:ilvl w:val="0"/>
          <w:numId w:val="1"/>
        </w:numPr>
        <w:spacing w:before="20" w:after="12"/>
      </w:pPr>
      <w:r>
        <w:t xml:space="preserve">set out the procedure for requesting access to records held by SAHPA; and</w:t>
      </w:r>
    </w:p>
    <w:p>
      <w:pPr>
        <w:pStyle w:val="Dashed List"/>
        <w:numPr>
          <w:ilvl w:val="0"/>
          <w:numId w:val="1"/>
        </w:numPr>
        <w:spacing w:after="100"/>
      </w:pPr>
      <w:r>
        <w:t xml:space="preserve">describe, at a high level, the categories of records held.</w:t>
      </w:r>
    </w:p>
    <w:p>
      <w:pPr>
        <w:pStyle w:val="Paragraph"/>
        <w:ind w:start="240"/>
        <w:spacing w:before="120" w:after="60"/>
      </w:pPr>
      <w:r>
        <w:t xml:space="preserve">1.3 Nothing in this Manual creates an automatic right of access to any record. All requests are assessed strictly in accordance with PAIA.</w:t>
      </w:r>
    </w:p>
    <w:p>
      <w:pPr>
        <w:pStyle w:val="Heading 3"/>
        <w:spacing w:before="300" w:after="100"/>
        <w:outlineLvl w:val="2"/>
      </w:pPr>
      <w:bookmarkStart w:id="12" w:name="Information_Officer"/>
      <w:bookmarkStart w:id="13" w:name="_toc6"/>
      <w:r>
        <w:t xml:space="preserve">2. Information Officer</w:t>
      </w:r>
      <w:bookmarkEnd w:id="12"/>
      <w:bookmarkEnd w:id="13"/>
    </w:p>
    <w:p>
      <w:pPr>
        <w:pStyle w:val="Paragraph"/>
        <w:ind w:start="240"/>
        <w:spacing w:before="120" w:after="60"/>
      </w:pPr>
      <w:r>
        <w:t xml:space="preserve">Title: Information Officer</w:t>
      </w:r>
    </w:p>
    <w:p>
      <w:pPr>
        <w:pStyle w:val="Paragraph"/>
        <w:ind w:start="240"/>
        <w:spacing w:before="120" w:after="60"/>
      </w:pPr>
      <w:r>
        <w:t xml:space="preserve">Organisation: South African Hang Gliding and Paragliding Association</w:t>
      </w:r>
    </w:p>
    <w:p>
      <w:pPr>
        <w:pStyle w:val="Paragraph"/>
        <w:ind w:start="240"/>
        <w:spacing w:before="120" w:after="60"/>
      </w:pPr>
      <w:r>
        <w:t xml:space="preserve">Email: privacy@sahpa.co.za</w:t>
      </w:r>
    </w:p>
    <w:p>
      <w:pPr>
        <w:pStyle w:val="Paragraph"/>
        <w:ind w:start="240"/>
        <w:spacing w:before="120" w:after="60"/>
      </w:pPr>
      <w:r>
        <w:t xml:space="preserve">Postal Address: PO Box 191, Celtis Ridge, 0130</w:t>
      </w:r>
    </w:p>
    <w:p>
      <w:pPr>
        <w:pStyle w:val="Paragraph"/>
        <w:ind w:start="240"/>
        <w:spacing w:before="120" w:after="60"/>
      </w:pPr>
      <w:r>
        <w:t xml:space="preserve">The Information Officer may designate one or more Deputy Information Officers in writing.</w:t>
      </w:r>
    </w:p>
    <w:p>
      <w:pPr>
        <w:pStyle w:val="Heading 3"/>
        <w:spacing w:before="300" w:after="100"/>
        <w:outlineLvl w:val="2"/>
      </w:pPr>
      <w:bookmarkStart w:id="14" w:name="Records_Available_Without_a_PAIA_Request"/>
      <w:bookmarkStart w:id="15" w:name="_toc7"/>
      <w:r>
        <w:t xml:space="preserve">3. Records Available Without a PAIA Request</w:t>
      </w:r>
      <w:bookmarkEnd w:id="14"/>
      <w:bookmarkEnd w:id="15"/>
    </w:p>
    <w:p>
      <w:pPr>
        <w:pStyle w:val="Paragraph"/>
        <w:ind w:start="240"/>
        <w:spacing w:before="120" w:after="60"/>
      </w:pPr>
      <w:r>
        <w:t xml:space="preserve">3.1 The following records are available without the submission of a PAIA request:</w:t>
      </w:r>
    </w:p>
    <w:p>
      <w:pPr>
        <w:pStyle w:val="Dashed List"/>
        <w:numPr>
          <w:ilvl w:val="0"/>
          <w:numId w:val="2"/>
        </w:numPr>
        <w:spacing w:before="20" w:after="12"/>
      </w:pPr>
      <w:r>
        <w:t xml:space="preserve">SAHPA Memorandum of Incorporation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SAHPA Operations Manual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SAHPA Manual of Procedures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Public safety notices and circulars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Public information published on the SAHPA website</w:t>
      </w:r>
    </w:p>
    <w:p>
      <w:pPr>
        <w:pStyle w:val="Dashed List"/>
        <w:numPr>
          <w:ilvl w:val="0"/>
          <w:numId w:val="2"/>
        </w:numPr>
        <w:spacing w:after="100"/>
      </w:pPr>
      <w:r>
        <w:t xml:space="preserve">Annual or regulatory reports formally released to members or authorities</w:t>
      </w:r>
    </w:p>
    <w:p>
      <w:pPr>
        <w:pStyle w:val="Heading 3"/>
        <w:spacing w:before="300" w:after="100"/>
        <w:outlineLvl w:val="2"/>
      </w:pPr>
      <w:bookmarkStart w:id="16" w:name="Categories_of_Records_Held"/>
      <w:bookmarkStart w:id="17" w:name="_toc8"/>
      <w:r>
        <w:t xml:space="preserve">4. Categories of Records Held</w:t>
      </w:r>
      <w:bookmarkEnd w:id="16"/>
      <w:bookmarkEnd w:id="17"/>
    </w:p>
    <w:p>
      <w:pPr>
        <w:pStyle w:val="Paragraph"/>
        <w:ind w:start="240"/>
        <w:spacing w:before="120" w:after="60"/>
      </w:pPr>
      <w:r>
        <w:t xml:space="preserve">4.1 SAHPA holds records relating to its governance, safety oversight, and regulatory functions. These include, but are not limited to:</w:t>
      </w:r>
    </w:p>
    <w:p>
      <w:pPr>
        <w:pStyle w:val="Dashed List"/>
        <w:numPr>
          <w:ilvl w:val="0"/>
          <w:numId w:val="3"/>
        </w:numPr>
        <w:spacing w:before="20" w:after="12"/>
      </w:pPr>
      <w:r>
        <w:t xml:space="preserve">Membership administration records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Licensing, ratings, and currency records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Training, instructor, and school records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Site and club records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Incident, accident, and hazard reports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Safety investigations and risk assessments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Complaints, disciplinary, and corrective action records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Insurance and claims-related records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Governance, committee, and policy records</w:t>
      </w:r>
    </w:p>
    <w:p>
      <w:pPr>
        <w:pStyle w:val="Dashed List"/>
        <w:numPr>
          <w:ilvl w:val="0"/>
          <w:numId w:val="3"/>
        </w:numPr>
        <w:spacing w:after="100"/>
      </w:pPr>
      <w:r>
        <w:t xml:space="preserve">Correspondence with regulators and stakeholders</w:t>
      </w:r>
    </w:p>
    <w:p>
      <w:pPr>
        <w:pStyle w:val="Paragraph"/>
        <w:ind w:start="240"/>
        <w:spacing w:before="120" w:after="60"/>
      </w:pPr>
      <w:r>
        <w:t xml:space="preserve">4.2 Records may be held electronically, including within SAHPA information systems such as MAS.</w:t>
      </w:r>
    </w:p>
    <w:p>
      <w:pPr>
        <w:pStyle w:val="Heading 3"/>
        <w:spacing w:before="300" w:after="100"/>
        <w:outlineLvl w:val="2"/>
      </w:pPr>
      <w:bookmarkStart w:id="18" w:name="Grounds_for_Refusal_or_Limitation_of_Access"/>
      <w:bookmarkStart w:id="19" w:name="_toc9"/>
      <w:r>
        <w:t xml:space="preserve">5. Grounds for Refusal or Limitation of Access</w:t>
      </w:r>
      <w:bookmarkEnd w:id="18"/>
      <w:bookmarkEnd w:id="19"/>
    </w:p>
    <w:p>
      <w:pPr>
        <w:pStyle w:val="Paragraph"/>
        <w:ind w:start="240"/>
        <w:spacing w:before="120" w:after="60"/>
      </w:pPr>
      <w:r>
        <w:t xml:space="preserve">5.1 Access to records may be refused, in whole or in part, where disclosure would:</w:t>
      </w:r>
    </w:p>
    <w:p>
      <w:pPr>
        <w:pStyle w:val="Dashed List"/>
        <w:numPr>
          <w:ilvl w:val="0"/>
          <w:numId w:val="4"/>
        </w:numPr>
        <w:spacing w:before="20" w:after="12"/>
      </w:pPr>
      <w:r>
        <w:t xml:space="preserve">unreasonably disclose personal information relating to another individual;</w:t>
      </w:r>
    </w:p>
    <w:p>
      <w:pPr>
        <w:pStyle w:val="Dashed List"/>
        <w:numPr>
          <w:ilvl w:val="0"/>
          <w:numId w:val="4"/>
        </w:numPr>
        <w:spacing w:after="12"/>
      </w:pPr>
      <w:r>
        <w:t xml:space="preserve">compromise aviation safety, site safety, or risk management activities;</w:t>
      </w:r>
    </w:p>
    <w:p>
      <w:pPr>
        <w:pStyle w:val="Dashed List"/>
        <w:numPr>
          <w:ilvl w:val="0"/>
          <w:numId w:val="4"/>
        </w:numPr>
        <w:spacing w:after="12"/>
      </w:pPr>
      <w:r>
        <w:t xml:space="preserve">prejudice the effectiveness, fairness, or integrity of investigative, disciplinary, or corrective processes;</w:t>
      </w:r>
    </w:p>
    <w:p>
      <w:pPr>
        <w:pStyle w:val="Dashed List"/>
        <w:numPr>
          <w:ilvl w:val="0"/>
          <w:numId w:val="4"/>
        </w:numPr>
        <w:spacing w:after="12"/>
      </w:pPr>
      <w:r>
        <w:t xml:space="preserve">reveal confidential statements, safety reports, or information provided on an expectation of confidentiality;</w:t>
      </w:r>
    </w:p>
    <w:p>
      <w:pPr>
        <w:pStyle w:val="Dashed List"/>
        <w:numPr>
          <w:ilvl w:val="0"/>
          <w:numId w:val="4"/>
        </w:numPr>
        <w:spacing w:after="12"/>
      </w:pPr>
      <w:r>
        <w:t xml:space="preserve">expose individuals to harassment, intimidation, or unreasonable reputational harm;</w:t>
      </w:r>
    </w:p>
    <w:p>
      <w:pPr>
        <w:pStyle w:val="Dashed List"/>
        <w:numPr>
          <w:ilvl w:val="0"/>
          <w:numId w:val="4"/>
        </w:numPr>
        <w:spacing w:after="100"/>
      </w:pPr>
      <w:r>
        <w:t xml:space="preserve">undermine SAHPA’s governance, oversight, or regulatory functions.</w:t>
      </w:r>
    </w:p>
    <w:p>
      <w:pPr>
        <w:pStyle w:val="Paragraph"/>
        <w:ind w:start="240"/>
        <w:spacing w:before="120" w:after="60"/>
      </w:pPr>
      <w:r>
        <w:t xml:space="preserve">5.2 The existence of a record does not in itself create a right of access to that record.</w:t>
      </w:r>
    </w:p>
    <w:p>
      <w:pPr>
        <w:pStyle w:val="Heading 3"/>
        <w:spacing w:before="300" w:after="100"/>
        <w:outlineLvl w:val="2"/>
      </w:pPr>
      <w:bookmarkStart w:id="20" w:name="Incident_Accident_and_Safety_Records"/>
      <w:bookmarkStart w:id="21" w:name="_toc10"/>
      <w:r>
        <w:t xml:space="preserve">6. Incident, Accident, and Safety Records</w:t>
      </w:r>
      <w:bookmarkEnd w:id="20"/>
      <w:bookmarkEnd w:id="21"/>
    </w:p>
    <w:p>
      <w:pPr>
        <w:pStyle w:val="Paragraph"/>
        <w:ind w:start="240"/>
        <w:spacing w:before="120" w:after="60"/>
      </w:pPr>
      <w:r>
        <w:t xml:space="preserve">6.1 Records relating to incidents, accidents, hazards, safety reports, and safety investigations are generated and maintained primarily for safety oversight, risk mitigation, and regulatory compliance.</w:t>
      </w:r>
    </w:p>
    <w:p>
      <w:pPr>
        <w:pStyle w:val="Paragraph"/>
        <w:ind w:start="240"/>
        <w:spacing w:before="120" w:after="60"/>
      </w:pPr>
      <w:r>
        <w:t xml:space="preserve">6.2 Such records may include:</w:t>
      </w:r>
    </w:p>
    <w:p>
      <w:pPr>
        <w:pStyle w:val="Dashed List"/>
        <w:numPr>
          <w:ilvl w:val="0"/>
          <w:numId w:val="5"/>
        </w:numPr>
        <w:spacing w:before="20" w:after="12"/>
      </w:pPr>
      <w:r>
        <w:t xml:space="preserve">witness statements;</w:t>
      </w:r>
    </w:p>
    <w:p>
      <w:pPr>
        <w:pStyle w:val="Dashed List"/>
        <w:numPr>
          <w:ilvl w:val="0"/>
          <w:numId w:val="5"/>
        </w:numPr>
        <w:spacing w:after="12"/>
      </w:pPr>
      <w:r>
        <w:t xml:space="preserve">preliminary findings;</w:t>
      </w:r>
    </w:p>
    <w:p>
      <w:pPr>
        <w:pStyle w:val="Dashed List"/>
        <w:numPr>
          <w:ilvl w:val="0"/>
          <w:numId w:val="5"/>
        </w:numPr>
        <w:spacing w:after="12"/>
      </w:pPr>
      <w:r>
        <w:t xml:space="preserve">internal analysis and recommendations;</w:t>
      </w:r>
    </w:p>
    <w:p>
      <w:pPr>
        <w:pStyle w:val="Dashed List"/>
        <w:numPr>
          <w:ilvl w:val="0"/>
          <w:numId w:val="5"/>
        </w:numPr>
        <w:spacing w:after="100"/>
      </w:pPr>
      <w:r>
        <w:t xml:space="preserve">correspondence with insurers or regulators.</w:t>
      </w:r>
    </w:p>
    <w:p>
      <w:pPr>
        <w:pStyle w:val="Paragraph"/>
        <w:ind w:start="240"/>
        <w:spacing w:before="120" w:after="60"/>
      </w:pPr>
      <w:r>
        <w:t xml:space="preserve">6.3 Access to these records may be refused or limited where disclosure would reasonably be expected to:</w:t>
      </w:r>
    </w:p>
    <w:p>
      <w:pPr>
        <w:pStyle w:val="Dashed List"/>
        <w:numPr>
          <w:ilvl w:val="0"/>
          <w:numId w:val="6"/>
        </w:numPr>
        <w:spacing w:before="20" w:after="12"/>
      </w:pPr>
      <w:r>
        <w:t xml:space="preserve">discourage candid safety reporting;</w:t>
      </w:r>
    </w:p>
    <w:p>
      <w:pPr>
        <w:pStyle w:val="Dashed List"/>
        <w:numPr>
          <w:ilvl w:val="0"/>
          <w:numId w:val="6"/>
        </w:numPr>
        <w:spacing w:after="12"/>
      </w:pPr>
      <w:r>
        <w:t xml:space="preserve">prejudice ongoing or future investigations;</w:t>
      </w:r>
    </w:p>
    <w:p>
      <w:pPr>
        <w:pStyle w:val="Dashed List"/>
        <w:numPr>
          <w:ilvl w:val="0"/>
          <w:numId w:val="6"/>
        </w:numPr>
        <w:spacing w:after="12"/>
      </w:pPr>
      <w:r>
        <w:t xml:space="preserve">compromise aviation or public safety;</w:t>
      </w:r>
    </w:p>
    <w:p>
      <w:pPr>
        <w:pStyle w:val="Dashed List"/>
        <w:numPr>
          <w:ilvl w:val="0"/>
          <w:numId w:val="6"/>
        </w:numPr>
        <w:spacing w:after="100"/>
      </w:pPr>
      <w:r>
        <w:t xml:space="preserve">expose individuals to retaliation or undue harm.</w:t>
      </w:r>
    </w:p>
    <w:p>
      <w:pPr>
        <w:pStyle w:val="Paragraph"/>
        <w:ind w:start="240"/>
        <w:spacing w:before="120" w:after="60"/>
      </w:pPr>
      <w:r>
        <w:t xml:space="preserve">6.4 Where appropriate, SAHPA may provide summarised or anonymised information without disclosing underlying records.</w:t>
      </w:r>
    </w:p>
    <w:p>
      <w:pPr>
        <w:pStyle w:val="Heading 3"/>
        <w:spacing w:before="300" w:after="100"/>
        <w:outlineLvl w:val="2"/>
      </w:pPr>
      <w:bookmarkStart w:id="22" w:name="Complaints_Disciplinary_and_Corrective_Action_Records"/>
      <w:bookmarkStart w:id="23" w:name="_toc11"/>
      <w:r>
        <w:t xml:space="preserve">7. Complaints, Disciplinary, and Corrective Action Records</w:t>
      </w:r>
      <w:bookmarkEnd w:id="22"/>
      <w:bookmarkEnd w:id="23"/>
    </w:p>
    <w:p>
      <w:pPr>
        <w:pStyle w:val="Paragraph"/>
        <w:ind w:start="240"/>
        <w:spacing w:before="120" w:after="60"/>
      </w:pPr>
      <w:r>
        <w:t xml:space="preserve">7.1 Records relating to complaints, allegations, disciplinary processes, corrective actions, or sanctions are confidential by default.</w:t>
      </w:r>
    </w:p>
    <w:p>
      <w:pPr>
        <w:pStyle w:val="Paragraph"/>
        <w:ind w:start="240"/>
        <w:spacing w:before="120" w:after="60"/>
      </w:pPr>
      <w:r>
        <w:t xml:space="preserve">7.2 Such records may include:</w:t>
      </w:r>
    </w:p>
    <w:p>
      <w:pPr>
        <w:pStyle w:val="Dashed List"/>
        <w:numPr>
          <w:ilvl w:val="0"/>
          <w:numId w:val="7"/>
        </w:numPr>
        <w:spacing w:before="20" w:after="12"/>
      </w:pPr>
      <w:r>
        <w:t xml:space="preserve">complaints and supporting material;</w:t>
      </w:r>
    </w:p>
    <w:p>
      <w:pPr>
        <w:pStyle w:val="Dashed List"/>
        <w:numPr>
          <w:ilvl w:val="0"/>
          <w:numId w:val="7"/>
        </w:numPr>
        <w:spacing w:after="12"/>
      </w:pPr>
      <w:r>
        <w:t xml:space="preserve">internal correspondence;</w:t>
      </w:r>
    </w:p>
    <w:p>
      <w:pPr>
        <w:pStyle w:val="Dashed List"/>
        <w:numPr>
          <w:ilvl w:val="0"/>
          <w:numId w:val="7"/>
        </w:numPr>
        <w:spacing w:after="12"/>
      </w:pPr>
      <w:r>
        <w:t xml:space="preserve">committee deliberations;</w:t>
      </w:r>
    </w:p>
    <w:p>
      <w:pPr>
        <w:pStyle w:val="Dashed List"/>
        <w:numPr>
          <w:ilvl w:val="0"/>
          <w:numId w:val="7"/>
        </w:numPr>
        <w:spacing w:after="12"/>
      </w:pPr>
      <w:r>
        <w:t xml:space="preserve">findings, recommendations, or sanctions;</w:t>
      </w:r>
    </w:p>
    <w:p>
      <w:pPr>
        <w:pStyle w:val="Dashed List"/>
        <w:numPr>
          <w:ilvl w:val="0"/>
          <w:numId w:val="7"/>
        </w:numPr>
        <w:spacing w:after="100"/>
      </w:pPr>
      <w:r>
        <w:t xml:space="preserve">appeal-related material.</w:t>
      </w:r>
    </w:p>
    <w:p>
      <w:pPr>
        <w:pStyle w:val="Paragraph"/>
        <w:ind w:start="240"/>
        <w:spacing w:before="120" w:after="60"/>
      </w:pPr>
      <w:r>
        <w:t xml:space="preserve">7.3 SAHPA is not obliged to disclose:</w:t>
      </w:r>
    </w:p>
    <w:p>
      <w:pPr>
        <w:pStyle w:val="Dashed List"/>
        <w:numPr>
          <w:ilvl w:val="0"/>
          <w:numId w:val="8"/>
        </w:numPr>
        <w:spacing w:before="20" w:after="12"/>
      </w:pPr>
      <w:r>
        <w:t xml:space="preserve">internal deliberations or decision-making processes;</w:t>
      </w:r>
    </w:p>
    <w:p>
      <w:pPr>
        <w:pStyle w:val="Dashed List"/>
        <w:numPr>
          <w:ilvl w:val="0"/>
          <w:numId w:val="8"/>
        </w:numPr>
        <w:spacing w:after="12"/>
      </w:pPr>
      <w:r>
        <w:t xml:space="preserve">evidentiary material beyond what is required by law or procedural fairness;</w:t>
      </w:r>
    </w:p>
    <w:p>
      <w:pPr>
        <w:pStyle w:val="Dashed List"/>
        <w:numPr>
          <w:ilvl w:val="0"/>
          <w:numId w:val="8"/>
        </w:numPr>
        <w:spacing w:after="100"/>
      </w:pPr>
      <w:r>
        <w:t xml:space="preserve">records where disclosure would undermine enforcement or governance functions.</w:t>
      </w:r>
    </w:p>
    <w:p>
      <w:pPr>
        <w:pStyle w:val="Heading 3"/>
        <w:spacing w:before="300" w:after="100"/>
        <w:outlineLvl w:val="2"/>
      </w:pPr>
      <w:bookmarkStart w:id="24" w:name="Request_Procedure"/>
      <w:bookmarkStart w:id="25" w:name="_toc12"/>
      <w:r>
        <w:t xml:space="preserve">8. Request Procedure</w:t>
      </w:r>
      <w:bookmarkEnd w:id="24"/>
      <w:bookmarkEnd w:id="25"/>
    </w:p>
    <w:p>
      <w:pPr>
        <w:pStyle w:val="Paragraph"/>
        <w:ind w:start="240"/>
        <w:spacing w:before="120" w:after="60"/>
      </w:pPr>
      <w:r>
        <w:t xml:space="preserve">8.1 Requests for access to records must:</w:t>
      </w:r>
    </w:p>
    <w:p>
      <w:pPr>
        <w:pStyle w:val="Dashed List"/>
        <w:numPr>
          <w:ilvl w:val="0"/>
          <w:numId w:val="9"/>
        </w:numPr>
        <w:spacing w:before="20" w:after="12"/>
      </w:pPr>
      <w:r>
        <w:t xml:space="preserve">be submitted in writing to the Information Officer;</w:t>
      </w:r>
    </w:p>
    <w:p>
      <w:pPr>
        <w:pStyle w:val="Dashed List"/>
        <w:numPr>
          <w:ilvl w:val="0"/>
          <w:numId w:val="9"/>
        </w:numPr>
        <w:spacing w:after="12"/>
      </w:pPr>
      <w:r>
        <w:t xml:space="preserve">identify the record with sufficient detail;</w:t>
      </w:r>
    </w:p>
    <w:p>
      <w:pPr>
        <w:pStyle w:val="Dashed List"/>
        <w:numPr>
          <w:ilvl w:val="0"/>
          <w:numId w:val="9"/>
        </w:numPr>
        <w:spacing w:after="12"/>
      </w:pPr>
      <w:r>
        <w:t xml:space="preserve">state the requester’s right of access;</w:t>
      </w:r>
    </w:p>
    <w:p>
      <w:pPr>
        <w:pStyle w:val="Dashed List"/>
        <w:numPr>
          <w:ilvl w:val="0"/>
          <w:numId w:val="9"/>
        </w:numPr>
        <w:spacing w:after="100"/>
      </w:pPr>
      <w:r>
        <w:t xml:space="preserve">indicate the preferred form of access.</w:t>
      </w:r>
    </w:p>
    <w:p>
      <w:pPr>
        <w:pStyle w:val="Paragraph"/>
        <w:ind w:start="240"/>
        <w:spacing w:before="120" w:after="60"/>
      </w:pPr>
      <w:r>
        <w:t xml:space="preserve">8.2 Requests may be subject to fees as prescribed by PAIA.</w:t>
      </w:r>
    </w:p>
    <w:p>
      <w:pPr>
        <w:pStyle w:val="Heading 3"/>
        <w:spacing w:before="300" w:after="100"/>
        <w:outlineLvl w:val="2"/>
      </w:pPr>
      <w:bookmarkStart w:id="26" w:name="Decisions_and_Timeframes"/>
      <w:bookmarkStart w:id="27" w:name="_toc13"/>
      <w:r>
        <w:t xml:space="preserve">9. Decisions and Timeframes</w:t>
      </w:r>
      <w:bookmarkEnd w:id="26"/>
      <w:bookmarkEnd w:id="27"/>
    </w:p>
    <w:p>
      <w:pPr>
        <w:pStyle w:val="Paragraph"/>
        <w:ind w:start="240"/>
        <w:spacing w:before="120" w:after="60"/>
      </w:pPr>
      <w:r>
        <w:t xml:space="preserve">9.1 SAHPA will process requests within the timeframes prescribed by PAIA.</w:t>
      </w:r>
    </w:p>
    <w:p>
      <w:pPr>
        <w:pStyle w:val="Paragraph"/>
        <w:ind w:start="240"/>
        <w:spacing w:before="120" w:after="60"/>
      </w:pPr>
      <w:r>
        <w:t xml:space="preserve">9.2 In assessing requests, SAHPA will consider:</w:t>
      </w:r>
    </w:p>
    <w:p>
      <w:pPr>
        <w:pStyle w:val="Dashed List"/>
        <w:numPr>
          <w:ilvl w:val="0"/>
          <w:numId w:val="10"/>
        </w:numPr>
        <w:spacing w:before="20" w:after="12"/>
      </w:pPr>
      <w:r>
        <w:t xml:space="preserve">the rights of the requester;</w:t>
      </w:r>
    </w:p>
    <w:p>
      <w:pPr>
        <w:pStyle w:val="Dashed List"/>
        <w:numPr>
          <w:ilvl w:val="0"/>
          <w:numId w:val="10"/>
        </w:numPr>
        <w:spacing w:after="12"/>
      </w:pPr>
      <w:r>
        <w:t xml:space="preserve">the rights and safety of other affected persons; and</w:t>
      </w:r>
    </w:p>
    <w:p>
      <w:pPr>
        <w:pStyle w:val="Dashed List"/>
        <w:numPr>
          <w:ilvl w:val="0"/>
          <w:numId w:val="10"/>
        </w:numPr>
        <w:spacing w:after="100"/>
      </w:pPr>
      <w:r>
        <w:t xml:space="preserve">the integrity of SAHPA’s safety, disciplinary, and governance systems.</w:t>
      </w:r>
    </w:p>
    <w:p>
      <w:pPr>
        <w:pStyle w:val="Paragraph"/>
        <w:ind w:start="240"/>
        <w:spacing w:before="120" w:after="60"/>
      </w:pPr>
      <w:r>
        <w:t xml:space="preserve">9.3 Requests may be granted, partially granted, or refused with written reasons.</w:t>
      </w:r>
    </w:p>
    <w:p>
      <w:pPr>
        <w:pStyle w:val="Heading 3"/>
        <w:spacing w:before="300" w:after="100"/>
        <w:outlineLvl w:val="2"/>
      </w:pPr>
      <w:bookmarkStart w:id="28" w:name="Remedies"/>
      <w:bookmarkStart w:id="29" w:name="_toc14"/>
      <w:r>
        <w:t xml:space="preserve">10. Remedies</w:t>
      </w:r>
      <w:bookmarkEnd w:id="28"/>
      <w:bookmarkEnd w:id="29"/>
    </w:p>
    <w:p>
      <w:pPr>
        <w:pStyle w:val="Paragraph"/>
        <w:ind w:start="240"/>
        <w:spacing w:before="120" w:after="60"/>
      </w:pPr>
      <w:r>
        <w:t xml:space="preserve">10.1 A requester may lodge a complaint or pursue remedies with the Information Regulator as provided for in PAIA.</w:t>
      </w:r>
    </w:p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4" w:type="default"/>
        </w:sectPr>
      </w:pPr>
    </w:p>
    <w:p>
      <w:pPr>
        <w:pStyle w:val="Heading 2"/>
        <w:spacing w:before="300" w:after="200"/>
        <w:outlineLvl w:val="1"/>
      </w:pPr>
      <w:bookmarkStart w:id="30" w:name="PART_B_POPIA_MANUAL"/>
      <w:bookmarkStart w:id="31" w:name="_toc15"/>
      <w:r>
        <w:t xml:space="preserve">PART B – POPIA MANUAL</w:t>
      </w:r>
      <w:bookmarkEnd w:id="30"/>
      <w:bookmarkEnd w:id="31"/>
    </w:p>
    <w:p>
      <w:pPr>
        <w:pStyle w:val="Heading 3"/>
        <w:spacing w:before="300" w:after="100"/>
        <w:outlineLvl w:val="2"/>
      </w:pPr>
      <w:bookmarkStart w:id="32" w:name="Purpose_and_Scope"/>
      <w:bookmarkStart w:id="33" w:name="_toc16"/>
      <w:r>
        <w:t xml:space="preserve">11. Purpose and Scope</w:t>
      </w:r>
      <w:bookmarkEnd w:id="32"/>
      <w:bookmarkEnd w:id="33"/>
    </w:p>
    <w:p>
      <w:pPr>
        <w:pStyle w:val="Paragraph"/>
        <w:ind w:start="240"/>
        <w:spacing w:before="120" w:after="60"/>
      </w:pPr>
      <w:r>
        <w:t xml:space="preserve">11.1 This Part describes how SAHPA processes personal information in accordance with the Protection of Personal Information Act, 2013.</w:t>
      </w:r>
    </w:p>
    <w:p>
      <w:pPr>
        <w:pStyle w:val="Paragraph"/>
        <w:ind w:start="240"/>
        <w:spacing w:before="120" w:after="60"/>
      </w:pPr>
      <w:r>
        <w:t xml:space="preserve">11.2 It applies to all personal information processed by SAHPA in the course of its governance, safety, and regulatory functions.</w:t>
      </w:r>
    </w:p>
    <w:p>
      <w:pPr>
        <w:pStyle w:val="Heading 3"/>
        <w:spacing w:before="300" w:after="100"/>
        <w:outlineLvl w:val="2"/>
      </w:pPr>
      <w:bookmarkStart w:id="34" w:name="Responsible_Party"/>
      <w:bookmarkStart w:id="35" w:name="_toc17"/>
      <w:r>
        <w:t xml:space="preserve">12. Responsible Party</w:t>
      </w:r>
      <w:bookmarkEnd w:id="34"/>
      <w:bookmarkEnd w:id="35"/>
    </w:p>
    <w:p>
      <w:pPr>
        <w:pStyle w:val="Paragraph"/>
        <w:ind w:start="240"/>
        <w:spacing w:before="120" w:after="60"/>
      </w:pPr>
      <w:r>
        <w:t xml:space="preserve">12.1 SAHPA is the responsible party for all personal information processed in its systems and records.</w:t>
      </w:r>
    </w:p>
    <w:p>
      <w:pPr>
        <w:pStyle w:val="Paragraph"/>
        <w:ind w:start="240"/>
        <w:spacing w:before="120" w:after="60"/>
      </w:pPr>
      <w:r>
        <w:t xml:space="preserve">12.2 SAHPA determines the purpose and means of processing and retains exclusive control over such records.</w:t>
      </w:r>
    </w:p>
    <w:p>
      <w:pPr>
        <w:pStyle w:val="Heading 3"/>
        <w:spacing w:before="300" w:after="100"/>
        <w:outlineLvl w:val="2"/>
      </w:pPr>
      <w:bookmarkStart w:id="36" w:name="Categories_of_Data_Subjects"/>
      <w:bookmarkStart w:id="37" w:name="_toc18"/>
      <w:r>
        <w:t xml:space="preserve">13. Categories of Data Subjects</w:t>
      </w:r>
      <w:bookmarkEnd w:id="36"/>
      <w:bookmarkEnd w:id="37"/>
    </w:p>
    <w:p>
      <w:pPr>
        <w:pStyle w:val="Paragraph"/>
        <w:ind w:start="240"/>
        <w:spacing w:before="120" w:after="60"/>
      </w:pPr>
      <w:r>
        <w:t xml:space="preserve">13.1 SAHPA processes personal information relating to:</w:t>
      </w:r>
    </w:p>
    <w:p>
      <w:pPr>
        <w:pStyle w:val="Dashed List"/>
        <w:numPr>
          <w:ilvl w:val="0"/>
          <w:numId w:val="11"/>
        </w:numPr>
        <w:spacing w:before="20" w:after="12"/>
      </w:pPr>
      <w:r>
        <w:t xml:space="preserve">Members and pilots</w:t>
      </w:r>
    </w:p>
    <w:p>
      <w:pPr>
        <w:pStyle w:val="Dashed List"/>
        <w:numPr>
          <w:ilvl w:val="0"/>
          <w:numId w:val="11"/>
        </w:numPr>
        <w:spacing w:after="12"/>
      </w:pPr>
      <w:r>
        <w:t xml:space="preserve">Instructors, examiners, and assessors</w:t>
      </w:r>
    </w:p>
    <w:p>
      <w:pPr>
        <w:pStyle w:val="Dashed List"/>
        <w:numPr>
          <w:ilvl w:val="0"/>
          <w:numId w:val="11"/>
        </w:numPr>
        <w:spacing w:after="12"/>
      </w:pPr>
      <w:r>
        <w:t xml:space="preserve">Club officials and volunteers</w:t>
      </w:r>
    </w:p>
    <w:p>
      <w:pPr>
        <w:pStyle w:val="Dashed List"/>
        <w:numPr>
          <w:ilvl w:val="0"/>
          <w:numId w:val="11"/>
        </w:numPr>
        <w:spacing w:after="12"/>
      </w:pPr>
      <w:r>
        <w:t xml:space="preserve">School operators and staff</w:t>
      </w:r>
    </w:p>
    <w:p>
      <w:pPr>
        <w:pStyle w:val="Dashed List"/>
        <w:numPr>
          <w:ilvl w:val="0"/>
          <w:numId w:val="11"/>
        </w:numPr>
        <w:spacing w:after="12"/>
      </w:pPr>
      <w:r>
        <w:t xml:space="preserve">Event organisers</w:t>
      </w:r>
    </w:p>
    <w:p>
      <w:pPr>
        <w:pStyle w:val="Dashed List"/>
        <w:numPr>
          <w:ilvl w:val="0"/>
          <w:numId w:val="11"/>
        </w:numPr>
        <w:spacing w:after="12"/>
      </w:pPr>
      <w:r>
        <w:t xml:space="preserve">Incident witnesses and reporters</w:t>
      </w:r>
    </w:p>
    <w:p>
      <w:pPr>
        <w:pStyle w:val="Dashed List"/>
        <w:numPr>
          <w:ilvl w:val="0"/>
          <w:numId w:val="11"/>
        </w:numPr>
        <w:spacing w:after="100"/>
      </w:pPr>
      <w:r>
        <w:t xml:space="preserve">Contractors and service providers</w:t>
      </w:r>
    </w:p>
    <w:p>
      <w:pPr>
        <w:pStyle w:val="Heading 3"/>
        <w:spacing w:before="300" w:after="100"/>
        <w:outlineLvl w:val="2"/>
      </w:pPr>
      <w:bookmarkStart w:id="38" w:name="Categories_of_Personal_Information"/>
      <w:bookmarkStart w:id="39" w:name="_toc19"/>
      <w:r>
        <w:t xml:space="preserve">14. Categories of Personal Information</w:t>
      </w:r>
      <w:bookmarkEnd w:id="38"/>
      <w:bookmarkEnd w:id="39"/>
    </w:p>
    <w:p>
      <w:pPr>
        <w:pStyle w:val="Paragraph"/>
        <w:ind w:start="240"/>
        <w:spacing w:before="120" w:after="60"/>
      </w:pPr>
      <w:r>
        <w:t xml:space="preserve">14.1 Personal information processed may include:</w:t>
      </w:r>
    </w:p>
    <w:p>
      <w:pPr>
        <w:pStyle w:val="Dashed List"/>
        <w:numPr>
          <w:ilvl w:val="0"/>
          <w:numId w:val="12"/>
        </w:numPr>
        <w:spacing w:before="20" w:after="12"/>
      </w:pPr>
      <w:r>
        <w:t xml:space="preserve">identity and contact details;</w:t>
      </w:r>
    </w:p>
    <w:p>
      <w:pPr>
        <w:pStyle w:val="Dashed List"/>
        <w:numPr>
          <w:ilvl w:val="0"/>
          <w:numId w:val="12"/>
        </w:numPr>
        <w:spacing w:after="12"/>
      </w:pPr>
      <w:r>
        <w:t xml:space="preserve">licensing, ratings, and experience records;</w:t>
      </w:r>
    </w:p>
    <w:p>
      <w:pPr>
        <w:pStyle w:val="Dashed List"/>
        <w:numPr>
          <w:ilvl w:val="0"/>
          <w:numId w:val="12"/>
        </w:numPr>
        <w:spacing w:after="12"/>
      </w:pPr>
      <w:r>
        <w:t xml:space="preserve">medical or fitness declarations where required;</w:t>
      </w:r>
    </w:p>
    <w:p>
      <w:pPr>
        <w:pStyle w:val="Dashed List"/>
        <w:numPr>
          <w:ilvl w:val="0"/>
          <w:numId w:val="12"/>
        </w:numPr>
        <w:spacing w:after="12"/>
      </w:pPr>
      <w:r>
        <w:t xml:space="preserve">incident, accident, and safety-related information;</w:t>
      </w:r>
    </w:p>
    <w:p>
      <w:pPr>
        <w:pStyle w:val="Dashed List"/>
        <w:numPr>
          <w:ilvl w:val="0"/>
          <w:numId w:val="12"/>
        </w:numPr>
        <w:spacing w:after="12"/>
      </w:pPr>
      <w:r>
        <w:t xml:space="preserve">complaints, disciplinary, and compliance records;</w:t>
      </w:r>
    </w:p>
    <w:p>
      <w:pPr>
        <w:pStyle w:val="Dashed List"/>
        <w:numPr>
          <w:ilvl w:val="0"/>
          <w:numId w:val="12"/>
        </w:numPr>
        <w:spacing w:after="100"/>
      </w:pPr>
      <w:r>
        <w:t xml:space="preserve">insurance and claims-related information.</w:t>
      </w:r>
    </w:p>
    <w:p>
      <w:pPr>
        <w:pStyle w:val="Paragraph"/>
        <w:ind w:start="240"/>
        <w:spacing w:before="120" w:after="60"/>
      </w:pPr>
      <w:r>
        <w:br w:type="textWrapping"/>
      </w:r>
      <w:r>
        <w:t xml:space="preserve">14. 2 Information relating to incidents or discipline may include opinions, assessments, and third-party statements and is subject to heightened confidentiality controls.</w:t>
      </w:r>
    </w:p>
    <w:p>
      <w:pPr>
        <w:pStyle w:val="Heading 3"/>
        <w:spacing w:before="300" w:after="100"/>
        <w:outlineLvl w:val="2"/>
      </w:pPr>
      <w:bookmarkStart w:id="40" w:name="Purpose_and_Lawful_Basis_for_Processing"/>
      <w:bookmarkStart w:id="41" w:name="_toc20"/>
      <w:r>
        <w:t xml:space="preserve">15. Purpose and Lawful Basis for Processing</w:t>
      </w:r>
      <w:bookmarkEnd w:id="40"/>
      <w:bookmarkEnd w:id="41"/>
    </w:p>
    <w:p>
      <w:pPr>
        <w:pStyle w:val="Paragraph"/>
        <w:ind w:start="240"/>
        <w:spacing w:before="120" w:after="60"/>
      </w:pPr>
      <w:r>
        <w:t xml:space="preserve">15.1 Personal information is processed for purposes including:</w:t>
      </w:r>
    </w:p>
    <w:p>
      <w:pPr>
        <w:pStyle w:val="Dashed List"/>
        <w:numPr>
          <w:ilvl w:val="0"/>
          <w:numId w:val="13"/>
        </w:numPr>
        <w:spacing w:before="20" w:after="12"/>
      </w:pPr>
      <w:r>
        <w:t xml:space="preserve">membership administration;</w:t>
      </w:r>
    </w:p>
    <w:p>
      <w:pPr>
        <w:pStyle w:val="Dashed List"/>
        <w:numPr>
          <w:ilvl w:val="0"/>
          <w:numId w:val="13"/>
        </w:numPr>
        <w:spacing w:after="12"/>
      </w:pPr>
      <w:r>
        <w:t xml:space="preserve">licensing and safety oversight;</w:t>
      </w:r>
    </w:p>
    <w:p>
      <w:pPr>
        <w:pStyle w:val="Dashed List"/>
        <w:numPr>
          <w:ilvl w:val="0"/>
          <w:numId w:val="13"/>
        </w:numPr>
        <w:spacing w:after="12"/>
      </w:pPr>
      <w:r>
        <w:t xml:space="preserve">compliance with aviation regulations;</w:t>
      </w:r>
    </w:p>
    <w:p>
      <w:pPr>
        <w:pStyle w:val="Dashed List"/>
        <w:numPr>
          <w:ilvl w:val="0"/>
          <w:numId w:val="13"/>
        </w:numPr>
        <w:spacing w:after="12"/>
      </w:pPr>
      <w:r>
        <w:t xml:space="preserve">incident and accident investigation;</w:t>
      </w:r>
    </w:p>
    <w:p>
      <w:pPr>
        <w:pStyle w:val="Dashed List"/>
        <w:numPr>
          <w:ilvl w:val="0"/>
          <w:numId w:val="13"/>
        </w:numPr>
        <w:spacing w:after="12"/>
      </w:pPr>
      <w:r>
        <w:t xml:space="preserve">insurance administration;</w:t>
      </w:r>
    </w:p>
    <w:p>
      <w:pPr>
        <w:pStyle w:val="Dashed List"/>
        <w:numPr>
          <w:ilvl w:val="0"/>
          <w:numId w:val="13"/>
        </w:numPr>
        <w:spacing w:after="100"/>
      </w:pPr>
      <w:r>
        <w:t xml:space="preserve">governance, disciplinary, and corrective processes.</w:t>
      </w:r>
    </w:p>
    <w:p>
      <w:pPr>
        <w:pStyle w:val="Paragraph"/>
        <w:ind w:start="240"/>
        <w:spacing w:before="120" w:after="60"/>
      </w:pPr>
      <w:r>
        <w:t xml:space="preserve">15.2 Processing occurs on the basis of:</w:t>
      </w:r>
    </w:p>
    <w:p>
      <w:pPr>
        <w:pStyle w:val="Dashed List"/>
        <w:numPr>
          <w:ilvl w:val="0"/>
          <w:numId w:val="14"/>
        </w:numPr>
        <w:spacing w:before="20" w:after="12"/>
      </w:pPr>
      <w:r>
        <w:t xml:space="preserve">legal and regulatory obligations;</w:t>
      </w:r>
    </w:p>
    <w:p>
      <w:pPr>
        <w:pStyle w:val="Dashed List"/>
        <w:numPr>
          <w:ilvl w:val="0"/>
          <w:numId w:val="14"/>
        </w:numPr>
        <w:spacing w:after="12"/>
      </w:pPr>
      <w:r>
        <w:t xml:space="preserve">contractual necessity;</w:t>
      </w:r>
    </w:p>
    <w:p>
      <w:pPr>
        <w:pStyle w:val="Dashed List"/>
        <w:numPr>
          <w:ilvl w:val="0"/>
          <w:numId w:val="14"/>
        </w:numPr>
        <w:spacing w:after="100"/>
      </w:pPr>
      <w:r>
        <w:t xml:space="preserve">legitimate interests relating to aviation safety and governance.</w:t>
      </w:r>
    </w:p>
    <w:p>
      <w:pPr>
        <w:pStyle w:val="Paragraph"/>
        <w:ind w:start="240"/>
        <w:spacing w:before="120" w:after="60"/>
      </w:pPr>
      <w:r>
        <w:t xml:space="preserve">15.3 Where permitted by law, such processing may occur without consent.</w:t>
      </w:r>
    </w:p>
    <w:p>
      <w:pPr>
        <w:pStyle w:val="Heading 3"/>
        <w:spacing w:before="300" w:after="100"/>
        <w:outlineLvl w:val="2"/>
      </w:pPr>
      <w:bookmarkStart w:id="42" w:name="Data_Submissions_by_Third_Parties"/>
      <w:bookmarkStart w:id="43" w:name="_toc21"/>
      <w:r>
        <w:t xml:space="preserve">16. Data Submissions by Third Parties</w:t>
      </w:r>
      <w:bookmarkEnd w:id="42"/>
      <w:bookmarkEnd w:id="43"/>
    </w:p>
    <w:p>
      <w:pPr>
        <w:pStyle w:val="Paragraph"/>
        <w:ind w:start="240"/>
        <w:spacing w:before="120" w:after="60"/>
      </w:pPr>
      <w:r>
        <w:t xml:space="preserve">16.1 SAHPA may permit limited, controlled submission of data via application programming interfaces (APIs), including by SAHPA-recognised schools, solely for the purpose of recording required activity.</w:t>
      </w:r>
    </w:p>
    <w:p>
      <w:pPr>
        <w:pStyle w:val="Paragraph"/>
        <w:ind w:start="240"/>
        <w:spacing w:before="120" w:after="60"/>
      </w:pPr>
      <w:r>
        <w:t xml:space="preserve">16.2 Such interfaces:</w:t>
      </w:r>
    </w:p>
    <w:p>
      <w:pPr>
        <w:pStyle w:val="Dashed List"/>
        <w:numPr>
          <w:ilvl w:val="0"/>
          <w:numId w:val="15"/>
        </w:numPr>
        <w:spacing w:before="20" w:after="12"/>
      </w:pPr>
      <w:r>
        <w:t xml:space="preserve">are unidirectional;</w:t>
      </w:r>
    </w:p>
    <w:p>
      <w:pPr>
        <w:pStyle w:val="Dashed List"/>
        <w:numPr>
          <w:ilvl w:val="0"/>
          <w:numId w:val="15"/>
        </w:numPr>
        <w:spacing w:after="12"/>
      </w:pPr>
      <w:r>
        <w:t xml:space="preserve">do not permit access to other records;</w:t>
      </w:r>
    </w:p>
    <w:p>
      <w:pPr>
        <w:pStyle w:val="Dashed List"/>
        <w:numPr>
          <w:ilvl w:val="0"/>
          <w:numId w:val="15"/>
        </w:numPr>
        <w:spacing w:after="12"/>
      </w:pPr>
      <w:r>
        <w:t xml:space="preserve">do not constitute delegation of authority;</w:t>
      </w:r>
    </w:p>
    <w:p>
      <w:pPr>
        <w:pStyle w:val="Dashed List"/>
        <w:numPr>
          <w:ilvl w:val="0"/>
          <w:numId w:val="15"/>
        </w:numPr>
        <w:spacing w:after="100"/>
      </w:pPr>
      <w:r>
        <w:t xml:space="preserve">do not transfer ownership or control of records.</w:t>
      </w:r>
    </w:p>
    <w:p>
      <w:pPr>
        <w:pStyle w:val="Paragraph"/>
        <w:ind w:start="240"/>
        <w:spacing w:before="120" w:after="60"/>
      </w:pPr>
      <w:r>
        <w:t xml:space="preserve">16.3 All records remain under the exclusive control of SAHPA.</w:t>
      </w:r>
    </w:p>
    <w:p>
      <w:pPr>
        <w:pStyle w:val="Heading 3"/>
        <w:spacing w:before="300" w:after="100"/>
        <w:outlineLvl w:val="2"/>
      </w:pPr>
      <w:bookmarkStart w:id="44" w:name="Information_Security_Safeguards"/>
      <w:bookmarkStart w:id="45" w:name="_toc22"/>
      <w:r>
        <w:t xml:space="preserve">17. Information Security Safeguards</w:t>
      </w:r>
      <w:bookmarkEnd w:id="44"/>
      <w:bookmarkEnd w:id="45"/>
    </w:p>
    <w:p>
      <w:pPr>
        <w:pStyle w:val="Paragraph"/>
        <w:ind w:start="240"/>
        <w:spacing w:before="120" w:after="60"/>
      </w:pPr>
      <w:r>
        <w:t xml:space="preserve">17.1 SAHPA implements appropriate technical and organisational measures to protect personal information, including:</w:t>
      </w:r>
    </w:p>
    <w:p>
      <w:pPr>
        <w:pStyle w:val="Dashed List"/>
        <w:numPr>
          <w:ilvl w:val="0"/>
          <w:numId w:val="16"/>
        </w:numPr>
        <w:spacing w:before="20" w:after="12"/>
      </w:pPr>
      <w:r>
        <w:t xml:space="preserve">role-based access controls;</w:t>
      </w:r>
    </w:p>
    <w:p>
      <w:pPr>
        <w:pStyle w:val="Dashed List"/>
        <w:numPr>
          <w:ilvl w:val="0"/>
          <w:numId w:val="16"/>
        </w:numPr>
        <w:spacing w:after="12"/>
      </w:pPr>
      <w:r>
        <w:t xml:space="preserve">audit logging;</w:t>
      </w:r>
    </w:p>
    <w:p>
      <w:pPr>
        <w:pStyle w:val="Dashed List"/>
        <w:numPr>
          <w:ilvl w:val="0"/>
          <w:numId w:val="16"/>
        </w:numPr>
        <w:spacing w:after="12"/>
      </w:pPr>
      <w:r>
        <w:t xml:space="preserve">system and process controls;</w:t>
      </w:r>
    </w:p>
    <w:p>
      <w:pPr>
        <w:pStyle w:val="Dashed List"/>
        <w:numPr>
          <w:ilvl w:val="0"/>
          <w:numId w:val="16"/>
        </w:numPr>
        <w:spacing w:after="100"/>
      </w:pPr>
      <w:r>
        <w:t xml:space="preserve">contractual safeguards with service providers.</w:t>
      </w:r>
    </w:p>
    <w:p>
      <w:pPr>
        <w:pStyle w:val="Heading 3"/>
        <w:spacing w:before="300" w:after="100"/>
        <w:outlineLvl w:val="2"/>
      </w:pPr>
      <w:bookmarkStart w:id="46" w:name="Retention_of_Personal_Information"/>
      <w:bookmarkStart w:id="47" w:name="_toc23"/>
      <w:r>
        <w:t xml:space="preserve">18. Retention of Personal Information</w:t>
      </w:r>
      <w:bookmarkEnd w:id="46"/>
      <w:bookmarkEnd w:id="47"/>
    </w:p>
    <w:p>
      <w:pPr>
        <w:pStyle w:val="Paragraph"/>
        <w:ind w:start="240"/>
        <w:spacing w:before="120" w:after="60"/>
      </w:pPr>
      <w:r>
        <w:t xml:space="preserve">18.1 Personal information is retained only for as long as necessary to fulfil its purpose or as required by law, regulation, or oversight obligations.</w:t>
      </w:r>
    </w:p>
    <w:p>
      <w:pPr>
        <w:pStyle w:val="Heading 3"/>
        <w:spacing w:before="300" w:after="100"/>
        <w:outlineLvl w:val="2"/>
      </w:pPr>
      <w:bookmarkStart w:id="48" w:name="Data_Subject_Rights_and_Limitations"/>
      <w:bookmarkStart w:id="49" w:name="_toc24"/>
      <w:r>
        <w:t xml:space="preserve">19. Data Subject Rights and Limitations</w:t>
      </w:r>
      <w:bookmarkEnd w:id="48"/>
      <w:bookmarkEnd w:id="49"/>
    </w:p>
    <w:p>
      <w:pPr>
        <w:pStyle w:val="Paragraph"/>
        <w:ind w:start="240"/>
        <w:spacing w:before="120" w:after="60"/>
      </w:pPr>
      <w:r>
        <w:t xml:space="preserve">19.1 Data subjects may request access to, correction of, or deletion of personal information in accordance with POPIA and PAIA.</w:t>
      </w:r>
    </w:p>
    <w:p>
      <w:pPr>
        <w:pStyle w:val="Paragraph"/>
        <w:ind w:start="240"/>
        <w:spacing w:before="120" w:after="60"/>
      </w:pPr>
      <w:r>
        <w:t xml:space="preserve">19.2 Such rights may be limited where their exercise would:</w:t>
      </w:r>
    </w:p>
    <w:p>
      <w:pPr>
        <w:pStyle w:val="Dashed List"/>
        <w:numPr>
          <w:ilvl w:val="0"/>
          <w:numId w:val="17"/>
        </w:numPr>
        <w:spacing w:before="20" w:after="12"/>
      </w:pPr>
      <w:r>
        <w:t xml:space="preserve">compromise safety reporting or investigation processes;</w:t>
      </w:r>
    </w:p>
    <w:p>
      <w:pPr>
        <w:pStyle w:val="Dashed List"/>
        <w:numPr>
          <w:ilvl w:val="0"/>
          <w:numId w:val="17"/>
        </w:numPr>
        <w:spacing w:after="12"/>
      </w:pPr>
      <w:r>
        <w:t xml:space="preserve">prejudice disciplinary or corrective action;</w:t>
      </w:r>
    </w:p>
    <w:p>
      <w:pPr>
        <w:pStyle w:val="Dashed List"/>
        <w:numPr>
          <w:ilvl w:val="0"/>
          <w:numId w:val="17"/>
        </w:numPr>
        <w:spacing w:after="12"/>
      </w:pPr>
      <w:r>
        <w:t xml:space="preserve">infringe the rights of other individuals;</w:t>
      </w:r>
    </w:p>
    <w:p>
      <w:pPr>
        <w:pStyle w:val="Dashed List"/>
        <w:numPr>
          <w:ilvl w:val="0"/>
          <w:numId w:val="17"/>
        </w:numPr>
        <w:spacing w:after="100"/>
      </w:pPr>
      <w:r>
        <w:t xml:space="preserve">undermine lawful governance or regulatory functions.</w:t>
      </w:r>
    </w:p>
    <w:p>
      <w:pPr>
        <w:pStyle w:val="Paragraph"/>
        <w:ind w:start="240"/>
        <w:spacing w:before="120" w:after="60"/>
      </w:pPr>
      <w:r>
        <w:t xml:space="preserve">19.3 Requests relating to incidents or disciplinary matters will be assessed contextually and may be refused or limited where justified by law.</w:t>
      </w:r>
    </w:p>
    <w:p>
      <w:pPr>
        <w:pStyle w:val="Heading 3"/>
        <w:spacing w:before="300" w:after="100"/>
        <w:outlineLvl w:val="2"/>
      </w:pPr>
      <w:bookmarkStart w:id="50" w:name="Complaints"/>
      <w:bookmarkStart w:id="51" w:name="_toc25"/>
      <w:r>
        <w:t xml:space="preserve">20. Complaints</w:t>
      </w:r>
      <w:bookmarkEnd w:id="50"/>
      <w:bookmarkEnd w:id="51"/>
    </w:p>
    <w:p>
      <w:pPr>
        <w:pStyle w:val="Paragraph"/>
        <w:ind w:start="240"/>
        <w:spacing w:before="120" w:after="60"/>
      </w:pPr>
      <w:r>
        <w:t xml:space="preserve">20.1 Complaints relating to the processing of personal information may be lodged with the Information Regulator (South Africa).</w:t>
      </w:r>
    </w:p>
    <w:p>
      <w:pPr>
        <w:pStyle w:val="Heading 3"/>
        <w:spacing w:before="300" w:after="100"/>
        <w:outlineLvl w:val="2"/>
      </w:pPr>
      <w:bookmarkStart w:id="52" w:name="Interpretation_and_Non-Circumvention"/>
      <w:bookmarkStart w:id="53" w:name="_toc26"/>
      <w:r>
        <w:t xml:space="preserve">21. Interpretation and Non-Circumvention</w:t>
      </w:r>
      <w:bookmarkEnd w:id="52"/>
      <w:bookmarkEnd w:id="53"/>
    </w:p>
    <w:p>
      <w:pPr>
        <w:pStyle w:val="Paragraph"/>
        <w:ind w:start="240"/>
        <w:spacing w:before="120" w:after="60"/>
      </w:pPr>
      <w:r>
        <w:t xml:space="preserve">21.1 Nothing in this Manual shall be interpreted as:</w:t>
      </w:r>
    </w:p>
    <w:p>
      <w:pPr>
        <w:pStyle w:val="Dashed List"/>
        <w:numPr>
          <w:ilvl w:val="0"/>
          <w:numId w:val="18"/>
        </w:numPr>
        <w:spacing w:before="20" w:after="12"/>
      </w:pPr>
      <w:r>
        <w:t xml:space="preserve">creating rights of access beyond those provided for in PAIA;</w:t>
      </w:r>
    </w:p>
    <w:p>
      <w:pPr>
        <w:pStyle w:val="Dashed List"/>
        <w:numPr>
          <w:ilvl w:val="0"/>
          <w:numId w:val="18"/>
        </w:numPr>
        <w:spacing w:after="12"/>
      </w:pPr>
      <w:r>
        <w:t xml:space="preserve">limiting SAHPA’s authority to manage safety, discipline, or governance matters;</w:t>
      </w:r>
    </w:p>
    <w:p>
      <w:pPr>
        <w:pStyle w:val="Dashed List"/>
        <w:numPr>
          <w:ilvl w:val="0"/>
          <w:numId w:val="18"/>
        </w:numPr>
        <w:spacing w:after="100"/>
      </w:pPr>
      <w:r>
        <w:t xml:space="preserve">requiring disclosure where such disclosure would be unlawful, unsafe, or unfair.</w:t>
      </w:r>
    </w:p>
    <w:p>
      <w:pPr>
        <w:pStyle w:val="Paragraph"/>
        <w:ind w:start="240"/>
        <w:spacing w:before="120" w:after="60"/>
      </w:pPr>
      <w:r>
        <w:t xml:space="preserve">21.2 This Manual may not be used to circumvent SAHPA’s internal rules, processes, or corrective mechanisms.</w:t>
      </w:r>
    </w:p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5" w:type="default"/>
        </w:sectPr>
      </w:pPr>
    </w:p>
    <w:p>
      <w:pPr>
        <w:pStyle w:val="Heading 2"/>
        <w:spacing w:before="300" w:after="200"/>
        <w:outlineLvl w:val="1"/>
      </w:pPr>
      <w:bookmarkStart w:id="54" w:name="Addendum_A_-_Privacy_Notice"/>
      <w:bookmarkStart w:id="55" w:name="_toc27"/>
      <w:r>
        <w:t xml:space="preserve">Addendum A - Privacy Notice</w:t>
      </w:r>
      <w:bookmarkEnd w:id="54"/>
      <w:bookmarkEnd w:id="55"/>
    </w:p>
    <w:p>
      <w:pPr>
        <w:pStyle w:val="Paragraph"/>
        <w:ind w:start="240"/>
        <w:spacing w:before="120" w:after="60"/>
      </w:pPr>
      <w:r>
        <w:t xml:space="preserve">This Privacy Notice explains how South African Hang Gliding and Paragliding Association (SAHPA) collects, uses, and protects personal information in accordance with the Protection of Personal Information Act, 2013 (POPIA).</w:t>
      </w:r>
    </w:p>
    <w:p>
      <w:pPr>
        <w:pStyle w:val="Paragraph"/>
        <w:ind w:start="240"/>
        <w:spacing w:before="120" w:after="60"/>
      </w:pPr>
      <w:r>
        <w:t xml:space="preserve">This notice is provided for transparency only. It does not replace or override SAHPA’s PAIA and POPIA Manual.</w:t>
      </w:r>
    </w:p>
    <w:p>
      <w:pPr>
        <w:pStyle w:val="Heading 3"/>
        <w:spacing w:before="300" w:after="100"/>
        <w:outlineLvl w:val="2"/>
      </w:pPr>
      <w:bookmarkStart w:id="56" w:name="Responsible_Party_1"/>
      <w:bookmarkStart w:id="57" w:name="_toc28"/>
      <w:r>
        <w:t xml:space="preserve">1. Responsible Party</w:t>
      </w:r>
      <w:bookmarkEnd w:id="56"/>
      <w:bookmarkEnd w:id="57"/>
    </w:p>
    <w:p>
      <w:pPr>
        <w:pStyle w:val="Paragraph"/>
        <w:ind w:start="240"/>
        <w:spacing w:before="120" w:after="60"/>
      </w:pPr>
      <w:r>
        <w:t xml:space="preserve">SAHPA is the responsible party for personal information processed in connection with its governance, safety, and regulatory functions.</w:t>
      </w:r>
    </w:p>
    <w:p>
      <w:pPr>
        <w:pStyle w:val="Heading 3"/>
        <w:spacing w:before="300" w:after="100"/>
        <w:outlineLvl w:val="2"/>
      </w:pPr>
      <w:bookmarkStart w:id="58" w:name="Personal_Information_We_Process"/>
      <w:bookmarkStart w:id="59" w:name="_toc29"/>
      <w:r>
        <w:t xml:space="preserve">2. Personal Information We Process</w:t>
      </w:r>
      <w:bookmarkEnd w:id="58"/>
      <w:bookmarkEnd w:id="59"/>
    </w:p>
    <w:p>
      <w:pPr>
        <w:pStyle w:val="Paragraph"/>
        <w:ind w:start="240"/>
        <w:spacing w:before="120" w:after="60"/>
      </w:pPr>
      <w:r>
        <w:t xml:space="preserve">SAHPA may process personal information including, but not limited to:</w:t>
      </w:r>
    </w:p>
    <w:p>
      <w:pPr>
        <w:pStyle w:val="Dashed List"/>
        <w:numPr>
          <w:ilvl w:val="0"/>
          <w:numId w:val="19"/>
        </w:numPr>
        <w:spacing w:before="20" w:after="12"/>
      </w:pPr>
      <w:r>
        <w:t xml:space="preserve">identity and contact details;</w:t>
      </w:r>
    </w:p>
    <w:p>
      <w:pPr>
        <w:pStyle w:val="Dashed List"/>
        <w:numPr>
          <w:ilvl w:val="0"/>
          <w:numId w:val="19"/>
        </w:numPr>
        <w:spacing w:after="12"/>
      </w:pPr>
      <w:r>
        <w:t xml:space="preserve">membership, licensing, and ratings information;</w:t>
      </w:r>
    </w:p>
    <w:p>
      <w:pPr>
        <w:pStyle w:val="Dashed List"/>
        <w:numPr>
          <w:ilvl w:val="0"/>
          <w:numId w:val="19"/>
        </w:numPr>
        <w:spacing w:after="12"/>
      </w:pPr>
      <w:r>
        <w:t xml:space="preserve">training, instructor, and school-related information;</w:t>
      </w:r>
    </w:p>
    <w:p>
      <w:pPr>
        <w:pStyle w:val="Dashed List"/>
        <w:numPr>
          <w:ilvl w:val="0"/>
          <w:numId w:val="19"/>
        </w:numPr>
        <w:spacing w:after="12"/>
      </w:pPr>
      <w:r>
        <w:t xml:space="preserve">incident, accident, and safety-related information;</w:t>
      </w:r>
    </w:p>
    <w:p>
      <w:pPr>
        <w:pStyle w:val="Dashed List"/>
        <w:numPr>
          <w:ilvl w:val="0"/>
          <w:numId w:val="19"/>
        </w:numPr>
        <w:spacing w:after="12"/>
      </w:pPr>
      <w:r>
        <w:t xml:space="preserve">complaints, disciplinary, and compliance-related information;</w:t>
      </w:r>
    </w:p>
    <w:p>
      <w:pPr>
        <w:pStyle w:val="Dashed List"/>
        <w:numPr>
          <w:ilvl w:val="0"/>
          <w:numId w:val="19"/>
        </w:numPr>
        <w:spacing w:after="100"/>
      </w:pPr>
      <w:r>
        <w:t xml:space="preserve">insurance and claims-related information.</w:t>
      </w:r>
    </w:p>
    <w:p>
      <w:pPr>
        <w:pStyle w:val="Paragraph"/>
        <w:ind w:start="240"/>
        <w:spacing w:before="120" w:after="60"/>
      </w:pPr>
      <w:r>
        <w:t xml:space="preserve">Some information may constitute special personal information and is processed only where lawful and necessary.</w:t>
      </w:r>
    </w:p>
    <w:p>
      <w:pPr>
        <w:pStyle w:val="Heading 3"/>
        <w:spacing w:before="300" w:after="100"/>
        <w:outlineLvl w:val="2"/>
      </w:pPr>
      <w:bookmarkStart w:id="60" w:name="Purpose_of_Processing"/>
      <w:bookmarkStart w:id="61" w:name="_toc30"/>
      <w:r>
        <w:t xml:space="preserve">3. Purpose of Processing</w:t>
      </w:r>
      <w:bookmarkEnd w:id="60"/>
      <w:bookmarkEnd w:id="61"/>
    </w:p>
    <w:p>
      <w:pPr>
        <w:pStyle w:val="Paragraph"/>
        <w:ind w:start="240"/>
        <w:spacing w:before="120" w:after="60"/>
      </w:pPr>
      <w:r>
        <w:t xml:space="preserve">Personal information is processed for purposes that include:</w:t>
      </w:r>
    </w:p>
    <w:p>
      <w:pPr>
        <w:pStyle w:val="Dashed List"/>
        <w:numPr>
          <w:ilvl w:val="0"/>
          <w:numId w:val="20"/>
        </w:numPr>
        <w:spacing w:before="20" w:after="12"/>
      </w:pPr>
      <w:r>
        <w:t xml:space="preserve">membership administration;</w:t>
      </w:r>
    </w:p>
    <w:p>
      <w:pPr>
        <w:pStyle w:val="Dashed List"/>
        <w:numPr>
          <w:ilvl w:val="0"/>
          <w:numId w:val="20"/>
        </w:numPr>
        <w:spacing w:after="12"/>
      </w:pPr>
      <w:r>
        <w:t xml:space="preserve">aviation safety oversight;</w:t>
      </w:r>
    </w:p>
    <w:p>
      <w:pPr>
        <w:pStyle w:val="Dashed List"/>
        <w:numPr>
          <w:ilvl w:val="0"/>
          <w:numId w:val="20"/>
        </w:numPr>
        <w:spacing w:after="12"/>
      </w:pPr>
      <w:r>
        <w:t xml:space="preserve">compliance with aviation legislation and regulations;</w:t>
      </w:r>
    </w:p>
    <w:p>
      <w:pPr>
        <w:pStyle w:val="Dashed List"/>
        <w:numPr>
          <w:ilvl w:val="0"/>
          <w:numId w:val="20"/>
        </w:numPr>
        <w:spacing w:after="12"/>
      </w:pPr>
      <w:r>
        <w:t xml:space="preserve">incident and accident investigation;</w:t>
      </w:r>
    </w:p>
    <w:p>
      <w:pPr>
        <w:pStyle w:val="Dashed List"/>
        <w:numPr>
          <w:ilvl w:val="0"/>
          <w:numId w:val="20"/>
        </w:numPr>
        <w:spacing w:after="12"/>
      </w:pPr>
      <w:r>
        <w:t xml:space="preserve">insurance administration;</w:t>
      </w:r>
    </w:p>
    <w:p>
      <w:pPr>
        <w:pStyle w:val="Dashed List"/>
        <w:numPr>
          <w:ilvl w:val="0"/>
          <w:numId w:val="20"/>
        </w:numPr>
        <w:spacing w:after="12"/>
      </w:pPr>
      <w:r>
        <w:t xml:space="preserve">governance, disciplinary, and corrective processes;</w:t>
      </w:r>
    </w:p>
    <w:p>
      <w:pPr>
        <w:pStyle w:val="Dashed List"/>
        <w:numPr>
          <w:ilvl w:val="0"/>
          <w:numId w:val="20"/>
        </w:numPr>
        <w:spacing w:after="100"/>
      </w:pPr>
      <w:r>
        <w:t xml:space="preserve">communication with members, clubs, schools, and regulators.</w:t>
      </w:r>
    </w:p>
    <w:p>
      <w:pPr>
        <w:pStyle w:val="Heading 3"/>
        <w:spacing w:before="300" w:after="100"/>
        <w:outlineLvl w:val="2"/>
      </w:pPr>
      <w:bookmarkStart w:id="62" w:name="Lawful_Basis_for_Processing"/>
      <w:bookmarkStart w:id="63" w:name="_toc31"/>
      <w:r>
        <w:t xml:space="preserve">4. Lawful Basis for Processing</w:t>
      </w:r>
      <w:bookmarkEnd w:id="62"/>
      <w:bookmarkEnd w:id="63"/>
    </w:p>
    <w:p>
      <w:pPr>
        <w:pStyle w:val="Paragraph"/>
        <w:ind w:start="240"/>
        <w:spacing w:before="120" w:after="60"/>
      </w:pPr>
      <w:r>
        <w:t xml:space="preserve">SAHPA processes personal information on the basis of:</w:t>
      </w:r>
    </w:p>
    <w:p>
      <w:pPr>
        <w:pStyle w:val="Dashed List"/>
        <w:numPr>
          <w:ilvl w:val="0"/>
          <w:numId w:val="21"/>
        </w:numPr>
        <w:spacing w:before="20" w:after="12"/>
      </w:pPr>
      <w:r>
        <w:t xml:space="preserve">compliance with legal and regulatory obligations;</w:t>
      </w:r>
    </w:p>
    <w:p>
      <w:pPr>
        <w:pStyle w:val="Dashed List"/>
        <w:numPr>
          <w:ilvl w:val="0"/>
          <w:numId w:val="21"/>
        </w:numPr>
        <w:spacing w:after="12"/>
      </w:pPr>
      <w:r>
        <w:t xml:space="preserve">performance of contractual or membership-related obligations;</w:t>
      </w:r>
    </w:p>
    <w:p>
      <w:pPr>
        <w:pStyle w:val="Dashed List"/>
        <w:numPr>
          <w:ilvl w:val="0"/>
          <w:numId w:val="21"/>
        </w:numPr>
        <w:spacing w:after="12"/>
      </w:pPr>
      <w:r>
        <w:t xml:space="preserve">legitimate interests relating to aviation safety and governance;</w:t>
      </w:r>
    </w:p>
    <w:p>
      <w:pPr>
        <w:pStyle w:val="Dashed List"/>
        <w:numPr>
          <w:ilvl w:val="0"/>
          <w:numId w:val="21"/>
        </w:numPr>
        <w:spacing w:after="100"/>
      </w:pPr>
      <w:r>
        <w:t xml:space="preserve">consent, where applicable and appropriate.</w:t>
      </w:r>
    </w:p>
    <w:p>
      <w:pPr>
        <w:pStyle w:val="Paragraph"/>
        <w:ind w:start="240"/>
        <w:spacing w:before="120" w:after="60"/>
      </w:pPr>
      <w:r>
        <w:t xml:space="preserve">Where permitted by law, certain processing may occur without consent.</w:t>
      </w:r>
    </w:p>
    <w:p>
      <w:pPr>
        <w:pStyle w:val="Heading 3"/>
        <w:spacing w:before="300" w:after="100"/>
        <w:outlineLvl w:val="2"/>
      </w:pPr>
      <w:bookmarkStart w:id="64" w:name="Information_Systems_and_Data_Submissions"/>
      <w:bookmarkStart w:id="65" w:name="_toc32"/>
      <w:r>
        <w:t xml:space="preserve">5. Information Systems and Data Submissions</w:t>
      </w:r>
      <w:bookmarkEnd w:id="64"/>
      <w:bookmarkEnd w:id="65"/>
    </w:p>
    <w:p>
      <w:pPr>
        <w:pStyle w:val="Paragraph"/>
        <w:ind w:start="240"/>
        <w:spacing w:before="120" w:after="60"/>
      </w:pPr>
      <w:r>
        <w:t xml:space="preserve">SAHPA uses information systems to support its governance and safety functions.</w:t>
      </w:r>
    </w:p>
    <w:p>
      <w:pPr>
        <w:pStyle w:val="Paragraph"/>
        <w:ind w:start="240"/>
        <w:spacing w:before="120" w:after="60"/>
      </w:pPr>
      <w:r>
        <w:t xml:space="preserve">SAHPA may permit limited, controlled submission of information by SAHPA-recognised schools or other entities via technical interfaces for the purpose of recording required activity. Such submissions do not grant access to SAHPA records or systems beyond the information submitted.</w:t>
      </w:r>
    </w:p>
    <w:p>
      <w:pPr>
        <w:pStyle w:val="Heading 3"/>
        <w:spacing w:before="300" w:after="100"/>
        <w:outlineLvl w:val="2"/>
      </w:pPr>
      <w:bookmarkStart w:id="66" w:name="Disclosure_of_Information"/>
      <w:bookmarkStart w:id="67" w:name="_toc33"/>
      <w:r>
        <w:t xml:space="preserve">6. Disclosure of Information</w:t>
      </w:r>
      <w:bookmarkEnd w:id="66"/>
      <w:bookmarkEnd w:id="67"/>
    </w:p>
    <w:p>
      <w:pPr>
        <w:pStyle w:val="Paragraph"/>
        <w:ind w:start="240"/>
        <w:spacing w:before="120" w:after="60"/>
      </w:pPr>
      <w:r>
        <w:t xml:space="preserve">SAHPA does not sell personal information.</w:t>
      </w:r>
    </w:p>
    <w:p>
      <w:pPr>
        <w:pStyle w:val="Paragraph"/>
        <w:ind w:start="240"/>
        <w:spacing w:before="120" w:after="60"/>
      </w:pPr>
      <w:r>
        <w:t xml:space="preserve">Personal information may be disclosed where necessary for:</w:t>
      </w:r>
    </w:p>
    <w:p>
      <w:pPr>
        <w:pStyle w:val="Dashed List"/>
        <w:numPr>
          <w:ilvl w:val="0"/>
          <w:numId w:val="22"/>
        </w:numPr>
        <w:spacing w:before="20" w:after="12"/>
      </w:pPr>
      <w:r>
        <w:t xml:space="preserve">regulatory or statutory reporting;</w:t>
      </w:r>
    </w:p>
    <w:p>
      <w:pPr>
        <w:pStyle w:val="Dashed List"/>
        <w:numPr>
          <w:ilvl w:val="0"/>
          <w:numId w:val="22"/>
        </w:numPr>
        <w:spacing w:after="12"/>
      </w:pPr>
      <w:r>
        <w:t xml:space="preserve">safety or incident investigation;</w:t>
      </w:r>
    </w:p>
    <w:p>
      <w:pPr>
        <w:pStyle w:val="Dashed List"/>
        <w:numPr>
          <w:ilvl w:val="0"/>
          <w:numId w:val="22"/>
        </w:numPr>
        <w:spacing w:after="12"/>
      </w:pPr>
      <w:r>
        <w:t xml:space="preserve">insurance or legal processes;</w:t>
      </w:r>
    </w:p>
    <w:p>
      <w:pPr>
        <w:pStyle w:val="Dashed List"/>
        <w:numPr>
          <w:ilvl w:val="0"/>
          <w:numId w:val="22"/>
        </w:numPr>
        <w:spacing w:after="100"/>
      </w:pPr>
      <w:r>
        <w:t xml:space="preserve">compliance with lawful requests from authorities.</w:t>
      </w:r>
    </w:p>
    <w:p>
      <w:pPr>
        <w:pStyle w:val="Paragraph"/>
        <w:ind w:start="240"/>
        <w:spacing w:before="120" w:after="60"/>
      </w:pPr>
      <w:r>
        <w:t xml:space="preserve">Disclosure is limited to what is lawful and necessary.</w:t>
      </w:r>
    </w:p>
    <w:p>
      <w:pPr>
        <w:pStyle w:val="Heading 3"/>
        <w:spacing w:before="300" w:after="100"/>
        <w:outlineLvl w:val="2"/>
      </w:pPr>
      <w:bookmarkStart w:id="68" w:name="Data_Security"/>
      <w:bookmarkStart w:id="69" w:name="_toc34"/>
      <w:r>
        <w:t xml:space="preserve">7. Data Security</w:t>
      </w:r>
      <w:bookmarkEnd w:id="68"/>
      <w:bookmarkEnd w:id="69"/>
    </w:p>
    <w:p>
      <w:pPr>
        <w:pStyle w:val="Paragraph"/>
        <w:ind w:start="240"/>
        <w:spacing w:before="120" w:after="60"/>
      </w:pPr>
      <w:r>
        <w:t xml:space="preserve">SAHPA implements reasonable technical and organisational measures to protect personal information against loss, misuse, unauthorised access, or disclosure.</w:t>
      </w:r>
    </w:p>
    <w:p>
      <w:pPr>
        <w:pStyle w:val="Heading 3"/>
        <w:spacing w:before="300" w:after="100"/>
        <w:outlineLvl w:val="2"/>
      </w:pPr>
      <w:bookmarkStart w:id="70" w:name="Retention_of_Information"/>
      <w:bookmarkStart w:id="71" w:name="_toc35"/>
      <w:r>
        <w:t xml:space="preserve">8. Retention of Information</w:t>
      </w:r>
      <w:bookmarkEnd w:id="70"/>
      <w:bookmarkEnd w:id="71"/>
    </w:p>
    <w:p>
      <w:pPr>
        <w:pStyle w:val="Paragraph"/>
        <w:ind w:start="240"/>
        <w:spacing w:before="120" w:after="60"/>
      </w:pPr>
      <w:r>
        <w:t xml:space="preserve">Personal information is retained only for as long as necessary to fulfil the purpose for which it was collected, or as required by law, regulation, or oversight obligations.</w:t>
      </w:r>
    </w:p>
    <w:p>
      <w:pPr>
        <w:pStyle w:val="Heading 3"/>
        <w:spacing w:before="300" w:after="100"/>
        <w:outlineLvl w:val="2"/>
      </w:pPr>
      <w:bookmarkStart w:id="72" w:name="Data_Subject_Rights"/>
      <w:bookmarkStart w:id="73" w:name="_toc36"/>
      <w:r>
        <w:t xml:space="preserve">9. Data Subject Rights</w:t>
      </w:r>
      <w:bookmarkEnd w:id="72"/>
      <w:bookmarkEnd w:id="73"/>
    </w:p>
    <w:p>
      <w:pPr>
        <w:pStyle w:val="Paragraph"/>
        <w:ind w:start="240"/>
        <w:spacing w:before="120" w:after="60"/>
      </w:pPr>
      <w:r>
        <w:t xml:space="preserve">In terms of POPIA, data subjects may have the right to:</w:t>
      </w:r>
    </w:p>
    <w:p>
      <w:pPr>
        <w:pStyle w:val="Dashed List"/>
        <w:numPr>
          <w:ilvl w:val="0"/>
          <w:numId w:val="23"/>
        </w:numPr>
        <w:spacing w:before="20" w:after="12"/>
      </w:pPr>
      <w:r>
        <w:t xml:space="preserve">request access to personal information;</w:t>
      </w:r>
    </w:p>
    <w:p>
      <w:pPr>
        <w:pStyle w:val="Dashed List"/>
        <w:numPr>
          <w:ilvl w:val="0"/>
          <w:numId w:val="23"/>
        </w:numPr>
        <w:spacing w:after="12"/>
      </w:pPr>
      <w:r>
        <w:t xml:space="preserve">request correction or deletion of information where appropriate;</w:t>
      </w:r>
    </w:p>
    <w:p>
      <w:pPr>
        <w:pStyle w:val="Dashed List"/>
        <w:numPr>
          <w:ilvl w:val="0"/>
          <w:numId w:val="23"/>
        </w:numPr>
        <w:spacing w:after="100"/>
      </w:pPr>
      <w:r>
        <w:t xml:space="preserve">object to certain processing activities.</w:t>
      </w:r>
    </w:p>
    <w:p>
      <w:pPr>
        <w:pStyle w:val="Paragraph"/>
        <w:ind w:start="240"/>
        <w:spacing w:before="120" w:after="60"/>
      </w:pPr>
      <w:r>
        <w:t xml:space="preserve">The exercise of these rights may be limited where required to protect safety, disciplinary integrity, the rights of others, or lawful governance functions.</w:t>
      </w:r>
    </w:p>
    <w:p>
      <w:pPr>
        <w:pStyle w:val="Paragraph"/>
        <w:ind w:start="240"/>
        <w:spacing w:before="120" w:after="60"/>
      </w:pPr>
      <w:r>
        <w:t xml:space="preserve">Requests are handled in accordance with applicable law.</w:t>
      </w:r>
    </w:p>
    <w:p>
      <w:pPr>
        <w:pStyle w:val="Heading 3"/>
        <w:spacing w:before="300" w:after="100"/>
        <w:outlineLvl w:val="2"/>
      </w:pPr>
      <w:bookmarkStart w:id="74" w:name="Access_to_Records"/>
      <w:bookmarkStart w:id="75" w:name="_toc37"/>
      <w:r>
        <w:t xml:space="preserve">10. Access to Records</w:t>
      </w:r>
      <w:bookmarkEnd w:id="74"/>
      <w:bookmarkEnd w:id="75"/>
    </w:p>
    <w:p>
      <w:pPr>
        <w:pStyle w:val="Paragraph"/>
        <w:ind w:start="240"/>
        <w:spacing w:before="120" w:after="60"/>
      </w:pPr>
      <w:r>
        <w:t xml:space="preserve">Requests for access to records held by SAHPA are governed by the Promotion of Access to Information Act, 2000 (PAIA).</w:t>
      </w:r>
    </w:p>
    <w:p>
      <w:pPr>
        <w:pStyle w:val="Paragraph"/>
        <w:ind w:start="240"/>
        <w:spacing w:before="120" w:after="60"/>
      </w:pPr>
      <w:r>
        <w:t xml:space="preserve">Details of how to submit such requests are set out in the SAHPA PAIA and POPIA Manual.</w:t>
      </w:r>
    </w:p>
    <w:p>
      <w:pPr>
        <w:pStyle w:val="Heading 3"/>
        <w:spacing w:before="300" w:after="100"/>
        <w:outlineLvl w:val="2"/>
      </w:pPr>
      <w:bookmarkStart w:id="76" w:name="Changes_to_This_Notice"/>
      <w:bookmarkStart w:id="77" w:name="_toc38"/>
      <w:r>
        <w:t xml:space="preserve">11. Changes to This Notice</w:t>
      </w:r>
      <w:bookmarkEnd w:id="76"/>
      <w:bookmarkEnd w:id="77"/>
    </w:p>
    <w:p>
      <w:pPr>
        <w:pStyle w:val="Paragraph"/>
        <w:ind w:start="240"/>
        <w:spacing w:before="120" w:after="60"/>
      </w:pPr>
      <w:r>
        <w:t xml:space="preserve">This Privacy Notice may be updated from time to time to reflect legal, regulatory, or operational changes.</w:t>
      </w:r>
    </w:p>
    <w:p>
      <w:pPr>
        <w:pStyle w:val="Heading 3"/>
        <w:spacing w:before="300" w:after="100"/>
        <w:outlineLvl w:val="2"/>
      </w:pPr>
      <w:bookmarkStart w:id="78" w:name="Contact"/>
      <w:bookmarkStart w:id="79" w:name="_toc39"/>
      <w:r>
        <w:t xml:space="preserve">12. Contact</w:t>
      </w:r>
      <w:bookmarkEnd w:id="78"/>
      <w:bookmarkEnd w:id="79"/>
    </w:p>
    <w:p>
      <w:pPr>
        <w:pStyle w:val="Paragraph"/>
        <w:ind w:start="240"/>
        <w:spacing w:before="120" w:after="60"/>
      </w:pPr>
      <w:r>
        <w:t xml:space="preserve">Privacy-related enquiries may be directed to SAHPA via the contact details published in the SAHPA PAIA and POPIA Manual.</w:t>
      </w:r>
    </w:p>
    <w:bookmarkEnd w:id="7"/>
    <w:sectPr>
      <w:pgSz w:w="11900" w:h="16840" w:orient="portrait"/>
      <w:pgMar w:header="340" w:footer="566" w:top="1700" w:left="1700" w:right="1700" w:bottom="1700"/>
      <w:footnotePr>
        <w:pos w:val="pageBottom"/>
        <w:numFmt w:val="decimal"/>
        <w:numRestart w:val="eachSect"/>
      </w:footnotePr>
      <w:endnotePr>
        <w:pos w:val="sectEnd"/>
        <w:numFmt w:val="decimal"/>
        <w:numRestart w:val="eachSect"/>
      </w:endnotePr>
      <w:footerReference r:id="rId6" w:type="default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2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3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4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5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6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7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8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9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0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1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2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3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4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5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6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7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8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9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20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21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22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compat>
    <w:useFELayout/>
    <w:compatSetting w:name="compatibilityMode" w:uri="http://schemas.microsoft.com/office/word" w:val="15"/>
    <w:compatSetting w:name="enableOpenTypeFeatures" w:uri="http://schemas.microsoft.com/office/word" w:val="1"/>
  </w:compat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pPrDefault>
      <w:pPr>
        <w:jc w:val="left"/>
        <w:spacing w:line="300" w:lineRule="atLeast"/>
        <w:suppressAutoHyphens/>
      </w:pPr>
    </w:pPrDefault>
    <w:rPrDefault>
      <w:rPr>
        <w:rFonts w:ascii="Avenir Next Regular" w:cs="Avenir Next Regular" w:eastAsia="Avenir Next Regular" w:hAnsi="Avenir Next Regular"/>
        <w:sz w:val="20"/>
        <w:szCs w:val="20"/>
        <w:color w:val="4d4d4d"/>
        <w:strike w:val="0"/>
        <w:u w:val="none"/>
        <w:vertAlign w:val="baseline"/>
        <w14:ligatures w14:val="standardContextual"/>
        <w:lang w:val="en-ZA" w:eastAsia="en-ZA" w:bidi="en-ZA"/>
      </w:rPr>
    </w:rPrDefault>
  </w:docDefaults>
  <w:style w:type="paragraph" w:default="1" w:styleId="Normal">
    <w:name w:val="Normal"/>
    <w:qFormat/>
    <w:pPr>
      <w:jc w:val="left"/>
      <w:spacing w:line="300" w:lineRule="atLeast"/>
      <w:suppressAutoHyphens/>
    </w:pPr>
    <w:rPr>
      <w:rFonts w:ascii="Avenir Next Regular" w:cs="Avenir Next Regular" w:eastAsia="Avenir Next Regular" w:hAnsi="Avenir Next Regular"/>
      <w:sz w:val="20"/>
      <w:szCs w:val="20"/>
      <w:color w:val="4d4d4d"/>
      <w:strike w:val="0"/>
      <w:u w:val="none"/>
      <w:vertAlign w:val="baseline"/>
      <w14:ligatures w14:val="standardContextual"/>
      <w:lang w:val="en-ZA" w:eastAsia="en-ZA" w:bidi="en-ZA"/>
    </w:rPr>
  </w:style>
  <w:style w:type="paragraph" w:styleId="Dashed List">
    <w:name w:val="Dashed List"/>
    <w:basedOn w:val="Normal"/>
    <w:uiPriority w:val="1"/>
    <w:qFormat/>
  </w:style>
  <w:style w:type="paragraph" w:styleId="TOC 2">
    <w:name w:val="TOC 2"/>
    <w:basedOn w:val="Normal"/>
    <w:uiPriority w:val="1"/>
    <w:qFormat/>
    <w:pPr>
      <w:spacing w:line="280" w:lineRule="atLeast" w:before="240"/>
    </w:pPr>
  </w:style>
  <w:style w:type="paragraph" w:styleId="Codeblock">
    <w:name w:val="Codeblock"/>
    <w:basedOn w:val="Normal"/>
    <w:uiPriority w:val="1"/>
    <w:qFormat/>
    <w:semiHidden/>
    <w:unhideWhenUsed/>
    <w:pPr>
      <w:spacing w:line="0" w:lineRule="atLeast"/>
    </w:pPr>
    <w:rPr>
      <w:rFonts w:ascii="Menlo Regular" w:cs="Menlo Regular" w:eastAsia="Menlo Regular" w:hAnsi="Menlo Regular"/>
      <w:color w:val="779bc3"/>
    </w:rPr>
  </w:style>
  <w:style w:type="paragraph" w:styleId="Heading 4">
    <w:name w:val="Heading 4"/>
    <w:basedOn w:val="Normal"/>
    <w:uiPriority w:val="1"/>
    <w:qFormat/>
    <w:pPr>
      <w:spacing w:line="200" w:lineRule="atLeast"/>
      <w:keepNext/>
    </w:pPr>
    <w:rPr>
      <w:rFonts w:ascii="Avenir Next Regular" w:cs="Avenir Next Regular" w:eastAsia="Avenir Next Regular" w:hAnsi="Avenir Next Regular"/>
      <w:b/>
      <w:color w:val="666666"/>
    </w:rPr>
  </w:style>
  <w:style w:type="paragraph" w:styleId="Heading 1">
    <w:name w:val="Heading 1"/>
    <w:basedOn w:val="Normal"/>
    <w:uiPriority w:val="1"/>
    <w:qFormat/>
    <w:pPr>
      <w:spacing w:line="320" w:lineRule="atLeast"/>
      <w:keepNext/>
    </w:pPr>
    <w:rPr>
      <w:rFonts w:ascii="Avenir Next Regular" w:cs="Avenir Next Regular" w:eastAsia="Avenir Next Regular" w:hAnsi="Avenir Next Regular"/>
      <w:sz w:val="32"/>
      <w:szCs w:val="32"/>
      <w:b/>
      <w:color w:val="666666"/>
    </w:rPr>
  </w:style>
  <w:style w:type="paragraph" w:styleId="Table of Contents">
    <w:name w:val="Table of Contents"/>
    <w:basedOn w:val="Normal"/>
    <w:uiPriority w:val="1"/>
    <w:qFormat/>
    <w:semiHidden/>
    <w:unhideWhenUsed/>
    <w:pPr>
      <w:spacing w:line="280" w:lineRule="atLeast"/>
    </w:pPr>
  </w:style>
  <w:style w:type="paragraph" w:styleId="Paragraph">
    <w:name w:val="Paragraph"/>
    <w:basedOn w:val="Normal"/>
    <w:uiPriority w:val="1"/>
    <w:qFormat/>
  </w:style>
  <w:style w:type="paragraph" w:styleId="Raw Source Block">
    <w:name w:val="Raw Source Block"/>
    <w:basedOn w:val="Normal"/>
    <w:uiPriority w:val="1"/>
    <w:qFormat/>
    <w:semiHidden/>
    <w:unhideWhenUsed/>
  </w:style>
  <w:style w:type="paragraph" w:styleId="Heading 5">
    <w:name w:val="Heading 5"/>
    <w:basedOn w:val="Normal"/>
    <w:uiPriority w:val="1"/>
    <w:qFormat/>
    <w:semiHidden/>
    <w:unhideWhenUsed/>
    <w:pPr>
      <w:spacing w:line="240" w:lineRule="atLeast"/>
      <w:keepNext/>
    </w:pPr>
    <w:rPr>
      <w:rFonts w:ascii="Avenir Next Regular" w:cs="Avenir Next Regular" w:eastAsia="Avenir Next Regular" w:hAnsi="Avenir Next Regular"/>
      <w:sz w:val="24"/>
      <w:szCs w:val="24"/>
      <w:b/>
      <w:i/>
      <w:color w:val="666666"/>
    </w:rPr>
  </w:style>
  <w:style w:type="paragraph" w:styleId="Divider">
    <w:name w:val="Divider"/>
    <w:basedOn w:val="Normal"/>
    <w:uiPriority w:val="1"/>
    <w:qFormat/>
    <w:semiHidden/>
    <w:unhideWhenUsed/>
  </w:style>
  <w:style w:type="paragraph" w:styleId="Heading 2">
    <w:name w:val="Heading 2"/>
    <w:basedOn w:val="Normal"/>
    <w:uiPriority w:val="1"/>
    <w:qFormat/>
    <w:pPr>
      <w:spacing w:line="280" w:lineRule="atLeast"/>
      <w:keepNext/>
    </w:pPr>
    <w:rPr>
      <w:rFonts w:ascii="Avenir Next Regular" w:cs="Avenir Next Regular" w:eastAsia="Avenir Next Regular" w:hAnsi="Avenir Next Regular"/>
      <w:sz w:val="28"/>
      <w:szCs w:val="28"/>
      <w:b/>
      <w:color w:val="666666"/>
    </w:rPr>
  </w:style>
  <w:style w:type="paragraph" w:styleId="Blockquote">
    <w:name w:val="Blockquote"/>
    <w:basedOn w:val="Normal"/>
    <w:uiPriority w:val="1"/>
    <w:qFormat/>
    <w:semiHidden/>
    <w:unhideWhenUsed/>
    <w:rPr>
      <w:rFonts w:ascii="Avenir Next Regular" w:cs="Avenir Next Regular" w:eastAsia="Avenir Next Regular" w:hAnsi="Avenir Next Regular"/>
      <w:i/>
    </w:rPr>
  </w:style>
  <w:style w:type="paragraph" w:styleId="TOC 3">
    <w:name w:val="TOC 3"/>
    <w:basedOn w:val="Normal"/>
    <w:uiPriority w:val="1"/>
    <w:qFormat/>
    <w:pPr>
      <w:ind w:start="240"/>
      <w:spacing w:line="280" w:lineRule="atLeast"/>
    </w:pPr>
  </w:style>
  <w:style w:type="paragraph" w:styleId="Numbered List">
    <w:name w:val="Numbered List"/>
    <w:basedOn w:val="Normal"/>
    <w:uiPriority w:val="1"/>
    <w:qFormat/>
  </w:style>
  <w:style w:type="paragraph" w:styleId="Heading 6">
    <w:name w:val="Heading 6"/>
    <w:basedOn w:val="Normal"/>
    <w:uiPriority w:val="1"/>
    <w:qFormat/>
    <w:semiHidden/>
    <w:unhideWhenUsed/>
    <w:pPr>
      <w:spacing w:line="240" w:lineRule="atLeast"/>
      <w:keepNext/>
    </w:pPr>
    <w:rPr>
      <w:rFonts w:ascii="Avenir Next Regular" w:cs="Avenir Next Regular" w:eastAsia="Avenir Next Regular" w:hAnsi="Avenir Next Regular"/>
      <w:sz w:val="24"/>
      <w:szCs w:val="24"/>
      <w:i/>
    </w:rPr>
  </w:style>
  <w:style w:type="paragraph" w:styleId="Comment Block">
    <w:name w:val="Comment Block"/>
    <w:basedOn w:val="Normal"/>
    <w:uiPriority w:val="1"/>
    <w:qFormat/>
    <w:semiHidden/>
    <w:unhideWhenUsed/>
  </w:style>
  <w:style w:type="paragraph" w:styleId="Heading 3">
    <w:name w:val="Heading 3"/>
    <w:basedOn w:val="Normal"/>
    <w:uiPriority w:val="1"/>
    <w:qFormat/>
    <w:pPr>
      <w:spacing w:line="240" w:lineRule="atLeast"/>
      <w:keepNext/>
    </w:pPr>
    <w:rPr>
      <w:rFonts w:ascii="Avenir Next Regular" w:cs="Avenir Next Regular" w:eastAsia="Avenir Next Regular" w:hAnsi="Avenir Next Regular"/>
      <w:sz w:val="24"/>
      <w:szCs w:val="24"/>
      <w:b/>
      <w:color w:val="666666"/>
    </w:rPr>
  </w:style>
  <w:style w:type="character" w:styleId="Strong">
    <w:name w:val="Strong"/>
    <w:basedOn w:val="Normal"/>
    <w:uiPriority w:val="2"/>
    <w:qFormat/>
    <w:rPr>
      <w:rFonts w:ascii="Avenir Next Regular" w:cs="Avenir Next Regular" w:eastAsia="Avenir Next Regular" w:hAnsi="Avenir Next Regular"/>
      <w:b/>
      <w:color w:val="666666"/>
    </w:rPr>
  </w:style>
  <w:style w:type="character" w:styleId="Redact">
    <w:name w:val="Redact"/>
    <w:basedOn w:val="Normal"/>
    <w:uiPriority w:val="2"/>
    <w:qFormat/>
    <w:semiHidden/>
    <w:unhideWhenUsed/>
  </w:style>
  <w:style w:type="character" w:styleId="Tag">
    <w:name w:val="Tag"/>
    <w:basedOn w:val="Normal"/>
    <w:uiPriority w:val="2"/>
    <w:qFormat/>
    <w:semiHidden/>
    <w:unhideWhenUsed/>
  </w:style>
  <w:style w:type="character" w:styleId="Mark">
    <w:name w:val="Mark"/>
    <w:basedOn w:val="Normal"/>
    <w:uiPriority w:val="2"/>
    <w:qFormat/>
    <w:semiHidden/>
    <w:unhideWhenUsed/>
  </w:style>
  <w:style w:type="character" w:styleId="Comment">
    <w:name w:val="Comment"/>
    <w:basedOn w:val="Normal"/>
    <w:uiPriority w:val="2"/>
    <w:qFormat/>
    <w:semiHidden/>
    <w:unhideWhenUsed/>
  </w:style>
  <w:style w:type="character" w:styleId="Link">
    <w:name w:val="Link"/>
    <w:basedOn w:val="Normal"/>
    <w:uiPriority w:val="2"/>
    <w:qFormat/>
    <w:rPr>
      <w:rFonts w:ascii="Avenir Next Regular" w:cs="Avenir Next Regular" w:eastAsia="Avenir Next Regular" w:hAnsi="Avenir Next Regular"/>
      <w:i/>
      <w:color w:val="779bc3"/>
    </w:rPr>
  </w:style>
  <w:style w:type="character" w:styleId="Raw Source">
    <w:name w:val="Raw Source"/>
    <w:basedOn w:val="Normal"/>
    <w:uiPriority w:val="2"/>
    <w:qFormat/>
    <w:semiHidden/>
    <w:unhideWhenUsed/>
  </w:style>
  <w:style w:type="character" w:styleId="Emphasis">
    <w:name w:val="Emphasis"/>
    <w:basedOn w:val="Normal"/>
    <w:uiPriority w:val="2"/>
    <w:qFormat/>
    <w:rPr>
      <w:rFonts w:ascii="Avenir Next Regular" w:cs="Avenir Next Regular" w:eastAsia="Avenir Next Regular" w:hAnsi="Avenir Next Regular"/>
      <w:i/>
    </w:rPr>
  </w:style>
  <w:style w:type="character" w:styleId="Inline Code">
    <w:name w:val="Inline Code"/>
    <w:basedOn w:val="Normal"/>
    <w:uiPriority w:val="2"/>
    <w:qFormat/>
    <w:semiHidden/>
    <w:unhideWhenUsed/>
    <w:rPr>
      <w:rFonts w:ascii="Menlo Regular" w:cs="Menlo Regular" w:eastAsia="Menlo Regular" w:hAnsi="Menlo Regular"/>
      <w:color w:val="779bc3"/>
    </w:rPr>
  </w:style>
  <w:style w:type="character" w:styleId="Annotation">
    <w:name w:val="Annotation"/>
    <w:basedOn w:val="Normal"/>
    <w:uiPriority w:val="2"/>
    <w:qFormat/>
    <w:semiHidden/>
    <w:unhideWhenUsed/>
  </w:style>
  <w:style w:type="character" w:styleId="Inline Cite">
    <w:name w:val="Inline Cite"/>
    <w:basedOn w:val="Normal"/>
    <w:uiPriority w:val="2"/>
    <w:qFormat/>
    <w:semiHidden/>
    <w:unhideWhenUsed/>
    <w:rPr>
      <w:rFonts w:ascii="Avenir Next Regular" w:cs="Avenir Next Regular" w:eastAsia="Avenir Next Regular" w:hAnsi="Avenir Next Regular"/>
      <w:i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footer" Target="footer1.xml"/>
    <Relationship Id="rId2" Type="http://schemas.openxmlformats.org/officeDocument/2006/relationships/footer" Target="footer2.xml"/>
    <Relationship Id="rId3" Type="http://schemas.openxmlformats.org/officeDocument/2006/relationships/footer" Target="footer3.xml"/>
    <Relationship Id="rId4" Type="http://schemas.openxmlformats.org/officeDocument/2006/relationships/footer" Target="footer4.xml"/>
    <Relationship Id="rId5" Type="http://schemas.openxmlformats.org/officeDocument/2006/relationships/footer" Target="footer5.xml"/>
    <Relationship Id="rId6" Type="http://schemas.openxmlformats.org/officeDocument/2006/relationships/footer" Target="footer6.xml"/>
    <Relationship Id="rId7" Type="http://schemas.openxmlformats.org/officeDocument/2006/relationships/settings" Target="settings.xml"/>
    <Relationship Id="rId8" Type="http://schemas.openxmlformats.org/officeDocument/2006/relationships/numbering" Target="numbering.xml"/>
    <Relationship Id="rId9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